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335B" w:rsidRPr="00A1617C" w:rsidRDefault="0067335B" w:rsidP="0067335B">
      <w:pPr>
        <w:pStyle w:val="Heading1"/>
        <w:jc w:val="center"/>
        <w:rPr>
          <w:rStyle w:val="BookTitle"/>
          <w:b/>
          <w:sz w:val="32"/>
        </w:rPr>
      </w:pPr>
      <w:r>
        <w:rPr>
          <w:rStyle w:val="BookTitle"/>
          <w:sz w:val="32"/>
        </w:rPr>
        <w:t>Fisheries Natura</w:t>
      </w:r>
      <w:r w:rsidRPr="00A1617C">
        <w:rPr>
          <w:rStyle w:val="BookTitle"/>
          <w:sz w:val="32"/>
        </w:rPr>
        <w:t xml:space="preserve"> Risk Mitigation Plan</w:t>
      </w:r>
    </w:p>
    <w:p w:rsidR="0067335B" w:rsidRDefault="0067335B" w:rsidP="0067335B">
      <w:pPr>
        <w:pStyle w:val="Heading1"/>
        <w:jc w:val="center"/>
        <w:rPr>
          <w:rStyle w:val="BookTitle"/>
        </w:rPr>
      </w:pPr>
      <w:r>
        <w:rPr>
          <w:rStyle w:val="BookTitle"/>
        </w:rPr>
        <w:t>Fishery</w:t>
      </w:r>
    </w:p>
    <w:p w:rsidR="0067335B" w:rsidRPr="007B318A" w:rsidRDefault="0067335B" w:rsidP="0067335B">
      <w:pPr>
        <w:pStyle w:val="Heading1"/>
        <w:jc w:val="center"/>
        <w:rPr>
          <w:rStyle w:val="BookTitle"/>
        </w:rPr>
      </w:pPr>
      <w:r w:rsidRPr="007B318A">
        <w:rPr>
          <w:rStyle w:val="BookTitle"/>
        </w:rPr>
        <w:t>Dredge fishing for Scallop</w:t>
      </w:r>
      <w:r w:rsidR="001B59A2">
        <w:rPr>
          <w:rStyle w:val="BookTitle"/>
        </w:rPr>
        <w:t xml:space="preserve"> and Bottom towed gears</w:t>
      </w:r>
    </w:p>
    <w:p w:rsidR="0067335B" w:rsidRDefault="0067335B" w:rsidP="0067335B">
      <w:pPr>
        <w:pStyle w:val="Heading1"/>
        <w:jc w:val="center"/>
        <w:rPr>
          <w:rStyle w:val="BookTitle"/>
        </w:rPr>
      </w:pPr>
      <w:r>
        <w:rPr>
          <w:rStyle w:val="BookTitle"/>
        </w:rPr>
        <w:t>SACs</w:t>
      </w:r>
    </w:p>
    <w:p w:rsidR="0067335B" w:rsidRDefault="0067335B" w:rsidP="0067335B">
      <w:pPr>
        <w:pStyle w:val="Heading1"/>
        <w:jc w:val="center"/>
        <w:rPr>
          <w:rStyle w:val="BookTitle"/>
        </w:rPr>
      </w:pPr>
      <w:r>
        <w:rPr>
          <w:rStyle w:val="BookTitle"/>
        </w:rPr>
        <w:t>Mullet/Blacksod SAC</w:t>
      </w:r>
    </w:p>
    <w:p w:rsidR="00EF7C58" w:rsidRDefault="00EF7C58" w:rsidP="00EF7C58"/>
    <w:p w:rsidR="00EF7C58" w:rsidRPr="00EF7C58" w:rsidRDefault="00EF7C58" w:rsidP="00EF7C58">
      <w:pPr>
        <w:jc w:val="center"/>
        <w:rPr>
          <w:b/>
        </w:rPr>
      </w:pPr>
      <w:r>
        <w:rPr>
          <w:b/>
        </w:rPr>
        <w:t xml:space="preserve">June </w:t>
      </w:r>
      <w:r w:rsidR="00D548F2">
        <w:rPr>
          <w:b/>
        </w:rPr>
        <w:t>1</w:t>
      </w:r>
      <w:r>
        <w:rPr>
          <w:b/>
        </w:rPr>
        <w:t>5</w:t>
      </w:r>
      <w:r w:rsidRPr="00EF7C58">
        <w:rPr>
          <w:b/>
          <w:vertAlign w:val="superscript"/>
        </w:rPr>
        <w:t>th</w:t>
      </w:r>
      <w:r>
        <w:rPr>
          <w:b/>
        </w:rPr>
        <w:t xml:space="preserve"> 2015</w:t>
      </w:r>
    </w:p>
    <w:p w:rsidR="0067335B" w:rsidRDefault="0067335B" w:rsidP="0067335B"/>
    <w:p w:rsidR="0067335B" w:rsidRDefault="0067335B" w:rsidP="0067335B">
      <w:pPr>
        <w:jc w:val="center"/>
      </w:pPr>
      <w:r>
        <w:t xml:space="preserve">(This draft mitigation plan was developed by the Marine Institute in consultation with </w:t>
      </w:r>
      <w:r w:rsidR="00C85F09">
        <w:t xml:space="preserve">DAFM, </w:t>
      </w:r>
      <w:r>
        <w:t>BIM, NWRIFF, Erris Inshore Fishermen</w:t>
      </w:r>
      <w:r w:rsidR="001B59A2">
        <w:t>’</w:t>
      </w:r>
      <w:r>
        <w:t xml:space="preserve">s Association, ELCRA, Achill fishermen, Blacksod Bay oyster co-op members. Details </w:t>
      </w:r>
      <w:r w:rsidR="00CB62FC">
        <w:t xml:space="preserve">of the consultation process </w:t>
      </w:r>
      <w:r>
        <w:t>are provided in Annex II)</w:t>
      </w:r>
    </w:p>
    <w:p w:rsidR="0067335B" w:rsidRDefault="0067335B" w:rsidP="0067335B">
      <w:pPr>
        <w:pStyle w:val="Heading1"/>
      </w:pPr>
      <w:r>
        <w:t>Scallop fishing on habitats in the SACs</w:t>
      </w:r>
    </w:p>
    <w:p w:rsidR="00281F2C" w:rsidRDefault="0067335B" w:rsidP="0067335B">
      <w:pPr>
        <w:pStyle w:val="Heading2"/>
      </w:pPr>
      <w:r w:rsidRPr="00195ABF">
        <w:t>Profile of activity</w:t>
      </w:r>
    </w:p>
    <w:p w:rsidR="001B59A2" w:rsidRDefault="001B59A2" w:rsidP="001B59A2">
      <w:r>
        <w:t>Scallop have been fished by inshore fishing vessels in Blacksod Bay for a number of years. Fishing in spring of 2015 involved at least 12 vessels. No data are currently available on landings or effort. No stock assessments have been undertaken for this fishery.</w:t>
      </w:r>
    </w:p>
    <w:p w:rsidR="001B59A2" w:rsidRDefault="001B59A2" w:rsidP="001B59A2">
      <w:r>
        <w:t xml:space="preserve">The Marine Institute (2015) Natura-Fisheries risk assessment report indicated that the </w:t>
      </w:r>
      <w:r w:rsidR="0059191B">
        <w:t xml:space="preserve">scallop </w:t>
      </w:r>
      <w:r>
        <w:t>fishery was located in the south of the Bay (</w:t>
      </w:r>
      <w:r w:rsidR="00CB62FC">
        <w:t xml:space="preserve">see </w:t>
      </w:r>
      <w:r w:rsidR="00337EFC">
        <w:t>Annex I</w:t>
      </w:r>
      <w:r>
        <w:t>). This information was based on best estimates of the location of the fishery from information obtained in 2013.</w:t>
      </w:r>
      <w:r w:rsidR="0059191B">
        <w:t xml:space="preserve"> Data on oyster fisheries were obtained from survey data</w:t>
      </w:r>
      <w:r w:rsidR="00CB62FC">
        <w:t xml:space="preserve"> and for other fisheries from expert opinion of various people</w:t>
      </w:r>
      <w:r w:rsidR="0059191B">
        <w:t>.</w:t>
      </w:r>
    </w:p>
    <w:p w:rsidR="0059191B" w:rsidRDefault="0059191B" w:rsidP="001B59A2">
      <w:r>
        <w:t xml:space="preserve">These fisheries overlap individual habitats within the Bay to varying extent and </w:t>
      </w:r>
      <w:r w:rsidR="00BA43E0">
        <w:t>pose</w:t>
      </w:r>
      <w:r>
        <w:t xml:space="preserve"> a risk to some sensitive habitats in particular (</w:t>
      </w:r>
      <w:r w:rsidR="00337EFC">
        <w:t>Annex I</w:t>
      </w:r>
      <w:r>
        <w:t xml:space="preserve">). </w:t>
      </w:r>
    </w:p>
    <w:p w:rsidR="0067335B" w:rsidRDefault="0059191B" w:rsidP="0067335B">
      <w:pPr>
        <w:pStyle w:val="Heading2"/>
      </w:pPr>
      <w:r>
        <w:t>Potential o</w:t>
      </w:r>
      <w:r w:rsidR="0067335B">
        <w:t>verlap of scallop fishing with habitats in the SACs.</w:t>
      </w:r>
    </w:p>
    <w:p w:rsidR="00337EFC" w:rsidRDefault="00337EFC" w:rsidP="003D6651">
      <w:r>
        <w:t xml:space="preserve">Marine Habitats in Mullet/Blacksod Bay SAC are shown in </w:t>
      </w:r>
      <w:r w:rsidR="00653AFD">
        <w:fldChar w:fldCharType="begin"/>
      </w:r>
      <w:r w:rsidR="00CB62FC">
        <w:instrText xml:space="preserve"> REF _Ref421203253 \h </w:instrText>
      </w:r>
      <w:r w:rsidR="00653AFD">
        <w:fldChar w:fldCharType="separate"/>
      </w:r>
      <w:r w:rsidR="00CB62FC">
        <w:t xml:space="preserve">Figure </w:t>
      </w:r>
      <w:r w:rsidR="00CB62FC">
        <w:rPr>
          <w:noProof/>
        </w:rPr>
        <w:t>1</w:t>
      </w:r>
      <w:r w:rsidR="00653AFD">
        <w:fldChar w:fldCharType="end"/>
      </w:r>
      <w:r w:rsidR="00CB62FC">
        <w:t>.</w:t>
      </w:r>
    </w:p>
    <w:p w:rsidR="003D6651" w:rsidRDefault="003D6651" w:rsidP="003D6651">
      <w:r>
        <w:t>An assessment of the risk posed by dredging for scallops and other fisheries on habitats in Mullet/Blacksod SAC is included in Marine Institute (2015) which profiles the risks posed by all fisheries in all marine SACs in Ireland (see Annex I). This assessment uses a specific risk assessment framework designed to assess risk relative to the conservation objectives set for habitats and species by the NPWS.</w:t>
      </w:r>
    </w:p>
    <w:p w:rsidR="003D6651" w:rsidRDefault="003D6651" w:rsidP="003D6651">
      <w:r>
        <w:lastRenderedPageBreak/>
        <w:t>Mullet / Blacksod SAC is designated for the following qualifying interests</w:t>
      </w:r>
    </w:p>
    <w:p w:rsidR="003D6651" w:rsidRPr="003D6651" w:rsidRDefault="003D6651" w:rsidP="003D6651">
      <w:pPr>
        <w:pStyle w:val="NormalWeb"/>
        <w:numPr>
          <w:ilvl w:val="0"/>
          <w:numId w:val="1"/>
        </w:numPr>
        <w:shd w:val="clear" w:color="auto" w:fill="FFFFFF"/>
        <w:spacing w:after="120"/>
        <w:ind w:left="714" w:hanging="357"/>
        <w:rPr>
          <w:rFonts w:asciiTheme="minorHAnsi" w:hAnsiTheme="minorHAnsi" w:cs="Arial"/>
          <w:sz w:val="20"/>
          <w:szCs w:val="22"/>
        </w:rPr>
      </w:pPr>
      <w:r w:rsidRPr="003D6651">
        <w:rPr>
          <w:rFonts w:asciiTheme="minorHAnsi" w:hAnsiTheme="minorHAnsi" w:cs="Arial"/>
          <w:sz w:val="20"/>
          <w:szCs w:val="22"/>
        </w:rPr>
        <w:t>Mudflats and sandflats not covered by seawater at low tide [1140]</w:t>
      </w:r>
    </w:p>
    <w:p w:rsidR="003D6651" w:rsidRPr="003D6651" w:rsidRDefault="003D6651" w:rsidP="003D6651">
      <w:pPr>
        <w:pStyle w:val="NormalWeb"/>
        <w:numPr>
          <w:ilvl w:val="0"/>
          <w:numId w:val="1"/>
        </w:numPr>
        <w:shd w:val="clear" w:color="auto" w:fill="FFFFFF"/>
        <w:spacing w:after="120"/>
        <w:ind w:left="714" w:hanging="357"/>
        <w:rPr>
          <w:rFonts w:asciiTheme="minorHAnsi" w:hAnsiTheme="minorHAnsi" w:cs="Arial"/>
          <w:sz w:val="20"/>
          <w:szCs w:val="22"/>
        </w:rPr>
      </w:pPr>
      <w:r w:rsidRPr="003D6651">
        <w:rPr>
          <w:rFonts w:asciiTheme="minorHAnsi" w:hAnsiTheme="minorHAnsi" w:cs="Arial"/>
          <w:sz w:val="20"/>
          <w:szCs w:val="22"/>
        </w:rPr>
        <w:t>Large shallow inlets and bays [1160]</w:t>
      </w:r>
    </w:p>
    <w:p w:rsidR="003D6651" w:rsidRPr="003D6651" w:rsidRDefault="003D6651" w:rsidP="003D6651">
      <w:pPr>
        <w:pStyle w:val="NormalWeb"/>
        <w:numPr>
          <w:ilvl w:val="0"/>
          <w:numId w:val="1"/>
        </w:numPr>
        <w:shd w:val="clear" w:color="auto" w:fill="FFFFFF"/>
        <w:spacing w:after="120"/>
        <w:ind w:left="714" w:hanging="357"/>
        <w:rPr>
          <w:rFonts w:asciiTheme="minorHAnsi" w:hAnsiTheme="minorHAnsi" w:cs="Arial"/>
          <w:sz w:val="20"/>
          <w:szCs w:val="22"/>
        </w:rPr>
      </w:pPr>
      <w:r w:rsidRPr="003D6651">
        <w:rPr>
          <w:rFonts w:asciiTheme="minorHAnsi" w:hAnsiTheme="minorHAnsi" w:cs="Arial"/>
          <w:sz w:val="20"/>
          <w:szCs w:val="22"/>
        </w:rPr>
        <w:t>Reefs [1170]</w:t>
      </w:r>
    </w:p>
    <w:p w:rsidR="003D6651" w:rsidRPr="003D6651" w:rsidRDefault="003D6651" w:rsidP="003D6651">
      <w:pPr>
        <w:pStyle w:val="NormalWeb"/>
        <w:numPr>
          <w:ilvl w:val="0"/>
          <w:numId w:val="1"/>
        </w:numPr>
        <w:shd w:val="clear" w:color="auto" w:fill="FFFFFF"/>
        <w:spacing w:after="120"/>
        <w:ind w:left="714" w:hanging="357"/>
        <w:rPr>
          <w:rFonts w:asciiTheme="minorHAnsi" w:hAnsiTheme="minorHAnsi" w:cs="Arial"/>
          <w:sz w:val="20"/>
          <w:szCs w:val="22"/>
        </w:rPr>
      </w:pPr>
      <w:r w:rsidRPr="003D6651">
        <w:rPr>
          <w:rFonts w:asciiTheme="minorHAnsi" w:hAnsiTheme="minorHAnsi" w:cs="Arial"/>
          <w:sz w:val="20"/>
          <w:szCs w:val="22"/>
        </w:rPr>
        <w:t>Salicornia and other annuals colonising mud and sand [1310]</w:t>
      </w:r>
    </w:p>
    <w:p w:rsidR="003D6651" w:rsidRPr="003D6651" w:rsidRDefault="003D6651" w:rsidP="003D6651">
      <w:pPr>
        <w:pStyle w:val="NormalWeb"/>
        <w:numPr>
          <w:ilvl w:val="0"/>
          <w:numId w:val="1"/>
        </w:numPr>
        <w:shd w:val="clear" w:color="auto" w:fill="FFFFFF"/>
        <w:spacing w:after="120"/>
        <w:ind w:left="714" w:hanging="357"/>
        <w:rPr>
          <w:rFonts w:asciiTheme="minorHAnsi" w:hAnsiTheme="minorHAnsi" w:cs="Arial"/>
          <w:sz w:val="20"/>
          <w:szCs w:val="22"/>
        </w:rPr>
      </w:pPr>
      <w:r w:rsidRPr="003D6651">
        <w:rPr>
          <w:rFonts w:asciiTheme="minorHAnsi" w:hAnsiTheme="minorHAnsi" w:cs="Arial"/>
          <w:sz w:val="20"/>
          <w:szCs w:val="22"/>
        </w:rPr>
        <w:t>Shifting dunes along the shoreline with Ammophila arenaria (white dunes) [2120]</w:t>
      </w:r>
    </w:p>
    <w:p w:rsidR="003D6651" w:rsidRPr="003D6651" w:rsidRDefault="003D6651" w:rsidP="003D6651">
      <w:pPr>
        <w:pStyle w:val="NormalWeb"/>
        <w:numPr>
          <w:ilvl w:val="0"/>
          <w:numId w:val="1"/>
        </w:numPr>
        <w:shd w:val="clear" w:color="auto" w:fill="FFFFFF"/>
        <w:spacing w:after="120"/>
        <w:ind w:left="714" w:hanging="357"/>
        <w:rPr>
          <w:rFonts w:asciiTheme="minorHAnsi" w:hAnsiTheme="minorHAnsi" w:cs="Arial"/>
          <w:sz w:val="20"/>
          <w:szCs w:val="22"/>
        </w:rPr>
      </w:pPr>
      <w:r w:rsidRPr="003D6651">
        <w:rPr>
          <w:rFonts w:asciiTheme="minorHAnsi" w:hAnsiTheme="minorHAnsi" w:cs="Arial"/>
          <w:sz w:val="20"/>
          <w:szCs w:val="22"/>
        </w:rPr>
        <w:t>Fixed coastal dunes with herbaceous vegetation (grey dunes) [2130]</w:t>
      </w:r>
    </w:p>
    <w:p w:rsidR="003D6651" w:rsidRPr="003D6651" w:rsidRDefault="003D6651" w:rsidP="003D6651">
      <w:pPr>
        <w:pStyle w:val="NormalWeb"/>
        <w:numPr>
          <w:ilvl w:val="0"/>
          <w:numId w:val="1"/>
        </w:numPr>
        <w:shd w:val="clear" w:color="auto" w:fill="FFFFFF"/>
        <w:spacing w:after="120"/>
        <w:ind w:left="714" w:hanging="357"/>
        <w:rPr>
          <w:rFonts w:asciiTheme="minorHAnsi" w:hAnsiTheme="minorHAnsi" w:cs="Arial"/>
          <w:sz w:val="20"/>
          <w:szCs w:val="22"/>
        </w:rPr>
      </w:pPr>
      <w:r w:rsidRPr="003D6651">
        <w:rPr>
          <w:rFonts w:asciiTheme="minorHAnsi" w:hAnsiTheme="minorHAnsi" w:cs="Arial"/>
          <w:sz w:val="20"/>
          <w:szCs w:val="22"/>
        </w:rPr>
        <w:t>Atlantic decalcified fixed dunes (Calluno-Ulicetea) [2150]</w:t>
      </w:r>
    </w:p>
    <w:p w:rsidR="003D6651" w:rsidRPr="003D6651" w:rsidRDefault="003D6651" w:rsidP="003D6651">
      <w:pPr>
        <w:pStyle w:val="NormalWeb"/>
        <w:numPr>
          <w:ilvl w:val="0"/>
          <w:numId w:val="1"/>
        </w:numPr>
        <w:shd w:val="clear" w:color="auto" w:fill="FFFFFF"/>
        <w:spacing w:after="120"/>
        <w:ind w:left="714" w:hanging="357"/>
        <w:rPr>
          <w:rFonts w:asciiTheme="minorHAnsi" w:hAnsiTheme="minorHAnsi" w:cs="Arial"/>
          <w:sz w:val="20"/>
          <w:szCs w:val="22"/>
        </w:rPr>
      </w:pPr>
      <w:r w:rsidRPr="003D6651">
        <w:rPr>
          <w:rFonts w:asciiTheme="minorHAnsi" w:hAnsiTheme="minorHAnsi" w:cs="Arial"/>
          <w:sz w:val="20"/>
          <w:szCs w:val="22"/>
        </w:rPr>
        <w:t>Machairs (* in Ireland) [21A0]</w:t>
      </w:r>
    </w:p>
    <w:p w:rsidR="003D6651" w:rsidRPr="003D6651" w:rsidRDefault="003D6651" w:rsidP="003D6651">
      <w:pPr>
        <w:pStyle w:val="NormalWeb"/>
        <w:numPr>
          <w:ilvl w:val="0"/>
          <w:numId w:val="1"/>
        </w:numPr>
        <w:shd w:val="clear" w:color="auto" w:fill="FFFFFF"/>
        <w:spacing w:after="120"/>
        <w:ind w:left="714" w:hanging="357"/>
        <w:rPr>
          <w:rFonts w:asciiTheme="minorHAnsi" w:hAnsiTheme="minorHAnsi" w:cs="Arial"/>
          <w:sz w:val="20"/>
          <w:szCs w:val="22"/>
        </w:rPr>
      </w:pPr>
      <w:r w:rsidRPr="003D6651">
        <w:rPr>
          <w:rFonts w:asciiTheme="minorHAnsi" w:hAnsiTheme="minorHAnsi" w:cs="Arial"/>
          <w:sz w:val="20"/>
          <w:szCs w:val="22"/>
        </w:rPr>
        <w:t>Natural eutrophic lakes with Magnopotamion or Hydrocharition - type vegetation [3150]</w:t>
      </w:r>
    </w:p>
    <w:p w:rsidR="003D6651" w:rsidRPr="003D6651" w:rsidRDefault="003D6651" w:rsidP="003D6651">
      <w:pPr>
        <w:pStyle w:val="NormalWeb"/>
        <w:numPr>
          <w:ilvl w:val="0"/>
          <w:numId w:val="1"/>
        </w:numPr>
        <w:shd w:val="clear" w:color="auto" w:fill="FFFFFF"/>
        <w:spacing w:after="120"/>
        <w:ind w:left="714" w:hanging="357"/>
        <w:rPr>
          <w:rFonts w:asciiTheme="minorHAnsi" w:hAnsiTheme="minorHAnsi" w:cs="Arial"/>
          <w:sz w:val="20"/>
          <w:szCs w:val="22"/>
        </w:rPr>
      </w:pPr>
      <w:r w:rsidRPr="003D6651">
        <w:rPr>
          <w:rFonts w:asciiTheme="minorHAnsi" w:hAnsiTheme="minorHAnsi" w:cs="Arial"/>
          <w:sz w:val="20"/>
          <w:szCs w:val="22"/>
        </w:rPr>
        <w:t>Alkaline fens [7230]</w:t>
      </w:r>
    </w:p>
    <w:p w:rsidR="003D6651" w:rsidRPr="003D6651" w:rsidRDefault="003D6651" w:rsidP="003D6651">
      <w:pPr>
        <w:pStyle w:val="NormalWeb"/>
        <w:numPr>
          <w:ilvl w:val="0"/>
          <w:numId w:val="1"/>
        </w:numPr>
        <w:shd w:val="clear" w:color="auto" w:fill="FFFFFF"/>
        <w:spacing w:after="120"/>
        <w:ind w:left="714" w:hanging="357"/>
        <w:rPr>
          <w:rFonts w:asciiTheme="minorHAnsi" w:hAnsiTheme="minorHAnsi" w:cs="Arial"/>
          <w:sz w:val="20"/>
          <w:szCs w:val="22"/>
        </w:rPr>
      </w:pPr>
      <w:r w:rsidRPr="003D6651">
        <w:rPr>
          <w:rFonts w:asciiTheme="minorHAnsi" w:hAnsiTheme="minorHAnsi" w:cs="Arial"/>
          <w:sz w:val="20"/>
          <w:szCs w:val="22"/>
        </w:rPr>
        <w:t>Lutra lutra (Otter) [1355]</w:t>
      </w:r>
    </w:p>
    <w:p w:rsidR="003D6651" w:rsidRDefault="003D6651" w:rsidP="003D6651">
      <w:pPr>
        <w:pStyle w:val="NormalWeb"/>
        <w:numPr>
          <w:ilvl w:val="0"/>
          <w:numId w:val="1"/>
        </w:numPr>
        <w:shd w:val="clear" w:color="auto" w:fill="FFFFFF"/>
        <w:spacing w:after="120"/>
        <w:ind w:left="714" w:hanging="357"/>
        <w:rPr>
          <w:rFonts w:asciiTheme="minorHAnsi" w:hAnsiTheme="minorHAnsi" w:cs="Arial"/>
          <w:sz w:val="20"/>
          <w:szCs w:val="22"/>
        </w:rPr>
      </w:pPr>
      <w:r w:rsidRPr="003D6651">
        <w:rPr>
          <w:rFonts w:asciiTheme="minorHAnsi" w:hAnsiTheme="minorHAnsi" w:cs="Arial"/>
          <w:sz w:val="20"/>
          <w:szCs w:val="22"/>
        </w:rPr>
        <w:t>Petalophyllum ralfsii (Petalwort) [1395]</w:t>
      </w:r>
    </w:p>
    <w:p w:rsidR="003D6651" w:rsidRDefault="003D6651" w:rsidP="003D6651">
      <w:pPr>
        <w:pStyle w:val="NormalWeb"/>
        <w:shd w:val="clear" w:color="auto" w:fill="FFFFFF"/>
        <w:spacing w:after="120"/>
        <w:rPr>
          <w:rFonts w:asciiTheme="minorHAnsi" w:hAnsiTheme="minorHAnsi" w:cs="Arial"/>
          <w:sz w:val="20"/>
          <w:szCs w:val="22"/>
        </w:rPr>
      </w:pPr>
    </w:p>
    <w:p w:rsidR="003D6651" w:rsidRDefault="003D6651" w:rsidP="003D6651">
      <w:pPr>
        <w:pStyle w:val="NormalWeb"/>
        <w:shd w:val="clear" w:color="auto" w:fill="FFFFFF"/>
        <w:spacing w:after="120"/>
        <w:rPr>
          <w:rFonts w:asciiTheme="minorHAnsi" w:hAnsiTheme="minorHAnsi" w:cs="Arial"/>
          <w:sz w:val="20"/>
          <w:szCs w:val="22"/>
        </w:rPr>
      </w:pPr>
      <w:r>
        <w:rPr>
          <w:rFonts w:asciiTheme="minorHAnsi" w:hAnsiTheme="minorHAnsi" w:cs="Arial"/>
          <w:sz w:val="20"/>
          <w:szCs w:val="22"/>
        </w:rPr>
        <w:t xml:space="preserve">Scallop fishing does not overlap or have significant effects on </w:t>
      </w:r>
    </w:p>
    <w:p w:rsidR="003D6651" w:rsidRPr="003D6651" w:rsidRDefault="003D6651" w:rsidP="003D6651">
      <w:pPr>
        <w:pStyle w:val="NormalWeb"/>
        <w:numPr>
          <w:ilvl w:val="0"/>
          <w:numId w:val="1"/>
        </w:numPr>
        <w:shd w:val="clear" w:color="auto" w:fill="FFFFFF"/>
        <w:spacing w:after="120"/>
        <w:ind w:left="714" w:hanging="357"/>
        <w:rPr>
          <w:rFonts w:asciiTheme="minorHAnsi" w:hAnsiTheme="minorHAnsi" w:cs="Arial"/>
          <w:sz w:val="20"/>
          <w:szCs w:val="22"/>
        </w:rPr>
      </w:pPr>
      <w:r w:rsidRPr="003D6651">
        <w:rPr>
          <w:rFonts w:asciiTheme="minorHAnsi" w:hAnsiTheme="minorHAnsi" w:cs="Arial"/>
          <w:sz w:val="20"/>
          <w:szCs w:val="22"/>
        </w:rPr>
        <w:t>Salicornia and other annuals colonising mud and sand [1310]</w:t>
      </w:r>
    </w:p>
    <w:p w:rsidR="003D6651" w:rsidRPr="003D6651" w:rsidRDefault="003D6651" w:rsidP="003D6651">
      <w:pPr>
        <w:pStyle w:val="NormalWeb"/>
        <w:numPr>
          <w:ilvl w:val="0"/>
          <w:numId w:val="1"/>
        </w:numPr>
        <w:shd w:val="clear" w:color="auto" w:fill="FFFFFF"/>
        <w:spacing w:after="120"/>
        <w:ind w:left="714" w:hanging="357"/>
        <w:rPr>
          <w:rFonts w:asciiTheme="minorHAnsi" w:hAnsiTheme="minorHAnsi" w:cs="Arial"/>
          <w:sz w:val="20"/>
          <w:szCs w:val="22"/>
        </w:rPr>
      </w:pPr>
      <w:r w:rsidRPr="003D6651">
        <w:rPr>
          <w:rFonts w:asciiTheme="minorHAnsi" w:hAnsiTheme="minorHAnsi" w:cs="Arial"/>
          <w:sz w:val="20"/>
          <w:szCs w:val="22"/>
        </w:rPr>
        <w:t>Shifting dunes along the shoreline with Ammophila arenaria (white dunes) [2120]</w:t>
      </w:r>
    </w:p>
    <w:p w:rsidR="003D6651" w:rsidRPr="003D6651" w:rsidRDefault="003D6651" w:rsidP="003D6651">
      <w:pPr>
        <w:pStyle w:val="NormalWeb"/>
        <w:numPr>
          <w:ilvl w:val="0"/>
          <w:numId w:val="1"/>
        </w:numPr>
        <w:shd w:val="clear" w:color="auto" w:fill="FFFFFF"/>
        <w:spacing w:after="120"/>
        <w:ind w:left="714" w:hanging="357"/>
        <w:rPr>
          <w:rFonts w:asciiTheme="minorHAnsi" w:hAnsiTheme="minorHAnsi" w:cs="Arial"/>
          <w:sz w:val="20"/>
          <w:szCs w:val="22"/>
        </w:rPr>
      </w:pPr>
      <w:r w:rsidRPr="003D6651">
        <w:rPr>
          <w:rFonts w:asciiTheme="minorHAnsi" w:hAnsiTheme="minorHAnsi" w:cs="Arial"/>
          <w:sz w:val="20"/>
          <w:szCs w:val="22"/>
        </w:rPr>
        <w:t>Fixed coastal dunes with herbaceous vegetation (grey dunes) [2130]</w:t>
      </w:r>
    </w:p>
    <w:p w:rsidR="003D6651" w:rsidRPr="003D6651" w:rsidRDefault="003D6651" w:rsidP="003D6651">
      <w:pPr>
        <w:pStyle w:val="NormalWeb"/>
        <w:numPr>
          <w:ilvl w:val="0"/>
          <w:numId w:val="1"/>
        </w:numPr>
        <w:shd w:val="clear" w:color="auto" w:fill="FFFFFF"/>
        <w:spacing w:after="120"/>
        <w:ind w:left="714" w:hanging="357"/>
        <w:rPr>
          <w:rFonts w:asciiTheme="minorHAnsi" w:hAnsiTheme="minorHAnsi" w:cs="Arial"/>
          <w:sz w:val="20"/>
          <w:szCs w:val="22"/>
        </w:rPr>
      </w:pPr>
      <w:r w:rsidRPr="003D6651">
        <w:rPr>
          <w:rFonts w:asciiTheme="minorHAnsi" w:hAnsiTheme="minorHAnsi" w:cs="Arial"/>
          <w:sz w:val="20"/>
          <w:szCs w:val="22"/>
        </w:rPr>
        <w:t>Atlantic decalcified fixed dunes (Calluno-Ulicetea) [2150]</w:t>
      </w:r>
    </w:p>
    <w:p w:rsidR="003D6651" w:rsidRPr="003D6651" w:rsidRDefault="003D6651" w:rsidP="003D6651">
      <w:pPr>
        <w:pStyle w:val="NormalWeb"/>
        <w:numPr>
          <w:ilvl w:val="0"/>
          <w:numId w:val="1"/>
        </w:numPr>
        <w:shd w:val="clear" w:color="auto" w:fill="FFFFFF"/>
        <w:spacing w:after="120"/>
        <w:ind w:left="714" w:hanging="357"/>
        <w:rPr>
          <w:rFonts w:asciiTheme="minorHAnsi" w:hAnsiTheme="minorHAnsi" w:cs="Arial"/>
          <w:sz w:val="20"/>
          <w:szCs w:val="22"/>
        </w:rPr>
      </w:pPr>
      <w:r w:rsidRPr="003D6651">
        <w:rPr>
          <w:rFonts w:asciiTheme="minorHAnsi" w:hAnsiTheme="minorHAnsi" w:cs="Arial"/>
          <w:sz w:val="20"/>
          <w:szCs w:val="22"/>
        </w:rPr>
        <w:t>Machairs (* in Ireland) [21A0]</w:t>
      </w:r>
    </w:p>
    <w:p w:rsidR="003D6651" w:rsidRPr="003D6651" w:rsidRDefault="003D6651" w:rsidP="003D6651">
      <w:pPr>
        <w:pStyle w:val="NormalWeb"/>
        <w:numPr>
          <w:ilvl w:val="0"/>
          <w:numId w:val="1"/>
        </w:numPr>
        <w:shd w:val="clear" w:color="auto" w:fill="FFFFFF"/>
        <w:spacing w:after="120"/>
        <w:ind w:left="714" w:hanging="357"/>
        <w:rPr>
          <w:rFonts w:asciiTheme="minorHAnsi" w:hAnsiTheme="minorHAnsi" w:cs="Arial"/>
          <w:sz w:val="20"/>
          <w:szCs w:val="22"/>
        </w:rPr>
      </w:pPr>
      <w:r w:rsidRPr="003D6651">
        <w:rPr>
          <w:rFonts w:asciiTheme="minorHAnsi" w:hAnsiTheme="minorHAnsi" w:cs="Arial"/>
          <w:sz w:val="20"/>
          <w:szCs w:val="22"/>
        </w:rPr>
        <w:t>Natural eutrophic lakes with Magnopotamion or Hydrocharition - type vegetation [3150]</w:t>
      </w:r>
    </w:p>
    <w:p w:rsidR="003D6651" w:rsidRPr="003D6651" w:rsidRDefault="003D6651" w:rsidP="003D6651">
      <w:pPr>
        <w:pStyle w:val="NormalWeb"/>
        <w:numPr>
          <w:ilvl w:val="0"/>
          <w:numId w:val="1"/>
        </w:numPr>
        <w:shd w:val="clear" w:color="auto" w:fill="FFFFFF"/>
        <w:spacing w:after="120"/>
        <w:ind w:left="714" w:hanging="357"/>
        <w:rPr>
          <w:rFonts w:asciiTheme="minorHAnsi" w:hAnsiTheme="minorHAnsi" w:cs="Arial"/>
          <w:sz w:val="20"/>
          <w:szCs w:val="22"/>
        </w:rPr>
      </w:pPr>
      <w:r w:rsidRPr="003D6651">
        <w:rPr>
          <w:rFonts w:asciiTheme="minorHAnsi" w:hAnsiTheme="minorHAnsi" w:cs="Arial"/>
          <w:sz w:val="20"/>
          <w:szCs w:val="22"/>
        </w:rPr>
        <w:t>Alkaline fens [7230]</w:t>
      </w:r>
    </w:p>
    <w:p w:rsidR="003D6651" w:rsidRPr="003D6651" w:rsidRDefault="003D6651" w:rsidP="003D6651">
      <w:pPr>
        <w:pStyle w:val="NormalWeb"/>
        <w:numPr>
          <w:ilvl w:val="0"/>
          <w:numId w:val="1"/>
        </w:numPr>
        <w:shd w:val="clear" w:color="auto" w:fill="FFFFFF"/>
        <w:spacing w:after="120"/>
        <w:ind w:left="714" w:hanging="357"/>
        <w:rPr>
          <w:rFonts w:asciiTheme="minorHAnsi" w:hAnsiTheme="minorHAnsi" w:cs="Arial"/>
          <w:sz w:val="20"/>
          <w:szCs w:val="22"/>
        </w:rPr>
      </w:pPr>
      <w:r w:rsidRPr="003D6651">
        <w:rPr>
          <w:rFonts w:asciiTheme="minorHAnsi" w:hAnsiTheme="minorHAnsi" w:cs="Arial"/>
          <w:sz w:val="20"/>
          <w:szCs w:val="22"/>
        </w:rPr>
        <w:t>Lutra lutra (Otter) [1355]</w:t>
      </w:r>
    </w:p>
    <w:p w:rsidR="003D6651" w:rsidRDefault="003D6651" w:rsidP="003D6651">
      <w:pPr>
        <w:pStyle w:val="NormalWeb"/>
        <w:numPr>
          <w:ilvl w:val="0"/>
          <w:numId w:val="1"/>
        </w:numPr>
        <w:shd w:val="clear" w:color="auto" w:fill="FFFFFF"/>
        <w:spacing w:after="120"/>
        <w:ind w:left="714" w:hanging="357"/>
        <w:rPr>
          <w:rFonts w:asciiTheme="minorHAnsi" w:hAnsiTheme="minorHAnsi" w:cs="Arial"/>
          <w:sz w:val="20"/>
          <w:szCs w:val="22"/>
        </w:rPr>
      </w:pPr>
      <w:r w:rsidRPr="003D6651">
        <w:rPr>
          <w:rFonts w:asciiTheme="minorHAnsi" w:hAnsiTheme="minorHAnsi" w:cs="Arial"/>
          <w:sz w:val="20"/>
          <w:szCs w:val="22"/>
        </w:rPr>
        <w:t>Petalophyllum ralfsii (Petalwort) [1395]</w:t>
      </w:r>
    </w:p>
    <w:p w:rsidR="003D6651" w:rsidRDefault="003D6651" w:rsidP="003D6651">
      <w:pPr>
        <w:pStyle w:val="NormalWeb"/>
        <w:shd w:val="clear" w:color="auto" w:fill="FFFFFF"/>
        <w:spacing w:after="120"/>
        <w:rPr>
          <w:rFonts w:asciiTheme="minorHAnsi" w:hAnsiTheme="minorHAnsi" w:cs="Arial"/>
          <w:sz w:val="20"/>
          <w:szCs w:val="22"/>
        </w:rPr>
      </w:pPr>
    </w:p>
    <w:p w:rsidR="003D6651" w:rsidRDefault="003D6651" w:rsidP="003D6651">
      <w:pPr>
        <w:pStyle w:val="NormalWeb"/>
        <w:shd w:val="clear" w:color="auto" w:fill="FFFFFF"/>
        <w:spacing w:after="120"/>
        <w:rPr>
          <w:rFonts w:asciiTheme="minorHAnsi" w:hAnsiTheme="minorHAnsi" w:cs="Arial"/>
          <w:sz w:val="20"/>
          <w:szCs w:val="22"/>
        </w:rPr>
      </w:pPr>
      <w:r>
        <w:rPr>
          <w:rFonts w:asciiTheme="minorHAnsi" w:hAnsiTheme="minorHAnsi" w:cs="Arial"/>
          <w:sz w:val="20"/>
          <w:szCs w:val="22"/>
        </w:rPr>
        <w:t>As scallop are not common in intertidal waters Scallop fishing is unlikely to overlap with</w:t>
      </w:r>
    </w:p>
    <w:p w:rsidR="003D6651" w:rsidRDefault="003D6651" w:rsidP="003D6651">
      <w:pPr>
        <w:pStyle w:val="NormalWeb"/>
        <w:numPr>
          <w:ilvl w:val="0"/>
          <w:numId w:val="1"/>
        </w:numPr>
        <w:shd w:val="clear" w:color="auto" w:fill="FFFFFF"/>
        <w:spacing w:after="120"/>
        <w:ind w:left="714" w:hanging="357"/>
        <w:rPr>
          <w:rFonts w:asciiTheme="minorHAnsi" w:hAnsiTheme="minorHAnsi" w:cs="Arial"/>
          <w:sz w:val="20"/>
          <w:szCs w:val="22"/>
        </w:rPr>
      </w:pPr>
      <w:r w:rsidRPr="003D6651">
        <w:rPr>
          <w:rFonts w:asciiTheme="minorHAnsi" w:hAnsiTheme="minorHAnsi" w:cs="Arial"/>
          <w:sz w:val="20"/>
          <w:szCs w:val="22"/>
        </w:rPr>
        <w:t>Mudflats and sandflats not covered by seawater at low tide [1140]</w:t>
      </w:r>
    </w:p>
    <w:p w:rsidR="003D6651" w:rsidRPr="003D6651" w:rsidRDefault="003D6651" w:rsidP="003D6651">
      <w:pPr>
        <w:pStyle w:val="NormalWeb"/>
        <w:shd w:val="clear" w:color="auto" w:fill="FFFFFF"/>
        <w:spacing w:after="120"/>
        <w:ind w:left="714"/>
        <w:rPr>
          <w:rFonts w:asciiTheme="minorHAnsi" w:hAnsiTheme="minorHAnsi" w:cs="Arial"/>
          <w:sz w:val="20"/>
          <w:szCs w:val="22"/>
        </w:rPr>
      </w:pPr>
    </w:p>
    <w:p w:rsidR="003D6651" w:rsidRDefault="003D6651" w:rsidP="00CB62FC">
      <w:pPr>
        <w:pStyle w:val="NormalWeb"/>
        <w:shd w:val="clear" w:color="auto" w:fill="FFFFFF"/>
        <w:spacing w:after="120"/>
        <w:rPr>
          <w:rFonts w:asciiTheme="minorHAnsi" w:hAnsiTheme="minorHAnsi" w:cs="Arial"/>
          <w:sz w:val="20"/>
          <w:szCs w:val="22"/>
        </w:rPr>
      </w:pPr>
      <w:r>
        <w:rPr>
          <w:rFonts w:asciiTheme="minorHAnsi" w:hAnsiTheme="minorHAnsi" w:cs="Arial"/>
          <w:sz w:val="20"/>
          <w:szCs w:val="22"/>
        </w:rPr>
        <w:t xml:space="preserve">Scallop fishing may overlap </w:t>
      </w:r>
      <w:r w:rsidR="00CB62FC">
        <w:rPr>
          <w:rFonts w:asciiTheme="minorHAnsi" w:hAnsiTheme="minorHAnsi" w:cs="Arial"/>
          <w:sz w:val="20"/>
          <w:szCs w:val="22"/>
        </w:rPr>
        <w:t xml:space="preserve">therefore only </w:t>
      </w:r>
      <w:r>
        <w:rPr>
          <w:rFonts w:asciiTheme="minorHAnsi" w:hAnsiTheme="minorHAnsi" w:cs="Arial"/>
          <w:sz w:val="20"/>
          <w:szCs w:val="22"/>
        </w:rPr>
        <w:t xml:space="preserve">with </w:t>
      </w:r>
    </w:p>
    <w:p w:rsidR="003D6651" w:rsidRPr="003D6651" w:rsidRDefault="003D6651" w:rsidP="00CB62FC">
      <w:pPr>
        <w:pStyle w:val="NormalWeb"/>
        <w:numPr>
          <w:ilvl w:val="0"/>
          <w:numId w:val="1"/>
        </w:numPr>
        <w:shd w:val="clear" w:color="auto" w:fill="FFFFFF"/>
        <w:spacing w:after="120"/>
        <w:ind w:left="714" w:hanging="357"/>
        <w:rPr>
          <w:rFonts w:asciiTheme="minorHAnsi" w:hAnsiTheme="minorHAnsi" w:cs="Arial"/>
          <w:sz w:val="20"/>
          <w:szCs w:val="22"/>
        </w:rPr>
      </w:pPr>
      <w:r w:rsidRPr="003D6651">
        <w:rPr>
          <w:rFonts w:asciiTheme="minorHAnsi" w:hAnsiTheme="minorHAnsi" w:cs="Arial"/>
          <w:sz w:val="20"/>
          <w:szCs w:val="22"/>
        </w:rPr>
        <w:t>Large shallow inlets and bays [1160]</w:t>
      </w:r>
    </w:p>
    <w:p w:rsidR="003D6651" w:rsidRDefault="003D6651" w:rsidP="00CB62FC">
      <w:pPr>
        <w:pStyle w:val="NormalWeb"/>
        <w:numPr>
          <w:ilvl w:val="0"/>
          <w:numId w:val="1"/>
        </w:numPr>
        <w:shd w:val="clear" w:color="auto" w:fill="FFFFFF"/>
        <w:spacing w:after="120"/>
        <w:ind w:left="714" w:hanging="357"/>
        <w:rPr>
          <w:rFonts w:asciiTheme="minorHAnsi" w:hAnsiTheme="minorHAnsi" w:cs="Arial"/>
          <w:sz w:val="20"/>
          <w:szCs w:val="22"/>
        </w:rPr>
      </w:pPr>
      <w:r w:rsidRPr="003D6651">
        <w:rPr>
          <w:rFonts w:asciiTheme="minorHAnsi" w:hAnsiTheme="minorHAnsi" w:cs="Arial"/>
          <w:sz w:val="20"/>
          <w:szCs w:val="22"/>
        </w:rPr>
        <w:t>Reefs [1170]</w:t>
      </w:r>
    </w:p>
    <w:p w:rsidR="003D6651" w:rsidRDefault="003D6651" w:rsidP="003D6651">
      <w:pPr>
        <w:pStyle w:val="NormalWeb"/>
        <w:shd w:val="clear" w:color="auto" w:fill="FFFFFF"/>
        <w:spacing w:after="120"/>
        <w:rPr>
          <w:rFonts w:asciiTheme="minorHAnsi" w:hAnsiTheme="minorHAnsi" w:cs="Arial"/>
          <w:sz w:val="20"/>
          <w:szCs w:val="22"/>
        </w:rPr>
      </w:pPr>
    </w:p>
    <w:p w:rsidR="003D6651" w:rsidRDefault="003D6651" w:rsidP="00CB62FC">
      <w:pPr>
        <w:pStyle w:val="NormalWeb"/>
        <w:shd w:val="clear" w:color="auto" w:fill="FFFFFF"/>
        <w:spacing w:after="120" w:line="276" w:lineRule="auto"/>
        <w:rPr>
          <w:rFonts w:asciiTheme="minorHAnsi" w:hAnsiTheme="minorHAnsi" w:cs="Arial"/>
          <w:sz w:val="20"/>
          <w:szCs w:val="22"/>
        </w:rPr>
      </w:pPr>
      <w:r>
        <w:rPr>
          <w:rFonts w:asciiTheme="minorHAnsi" w:hAnsiTheme="minorHAnsi" w:cs="Arial"/>
          <w:sz w:val="20"/>
          <w:szCs w:val="22"/>
        </w:rPr>
        <w:t xml:space="preserve">Within qualifying interests </w:t>
      </w:r>
      <w:r w:rsidR="0059191B">
        <w:rPr>
          <w:rFonts w:asciiTheme="minorHAnsi" w:hAnsiTheme="minorHAnsi" w:cs="Arial"/>
          <w:sz w:val="20"/>
          <w:szCs w:val="22"/>
        </w:rPr>
        <w:t xml:space="preserve">1160 and 1170 </w:t>
      </w:r>
      <w:r>
        <w:rPr>
          <w:rFonts w:asciiTheme="minorHAnsi" w:hAnsiTheme="minorHAnsi" w:cs="Arial"/>
          <w:sz w:val="20"/>
          <w:szCs w:val="22"/>
        </w:rPr>
        <w:t>there are a number of m</w:t>
      </w:r>
      <w:r w:rsidR="0059191B">
        <w:rPr>
          <w:rFonts w:asciiTheme="minorHAnsi" w:hAnsiTheme="minorHAnsi" w:cs="Arial"/>
          <w:sz w:val="20"/>
          <w:szCs w:val="22"/>
        </w:rPr>
        <w:t>arine habitats or communities. In Mullet / Blacksod Bay SAC t</w:t>
      </w:r>
      <w:r>
        <w:rPr>
          <w:rFonts w:asciiTheme="minorHAnsi" w:hAnsiTheme="minorHAnsi" w:cs="Arial"/>
          <w:sz w:val="20"/>
          <w:szCs w:val="22"/>
        </w:rPr>
        <w:t>hese are</w:t>
      </w:r>
    </w:p>
    <w:p w:rsidR="003D6651" w:rsidRPr="003D6651" w:rsidRDefault="003D6651" w:rsidP="00CB62FC">
      <w:pPr>
        <w:pStyle w:val="ListParagraph"/>
        <w:numPr>
          <w:ilvl w:val="0"/>
          <w:numId w:val="2"/>
        </w:numPr>
        <w:spacing w:after="120"/>
        <w:ind w:hanging="357"/>
        <w:rPr>
          <w:rFonts w:ascii="Calibri" w:eastAsia="Times New Roman" w:hAnsi="Calibri" w:cs="Times New Roman"/>
          <w:color w:val="000000"/>
          <w:lang w:eastAsia="en-IE"/>
        </w:rPr>
      </w:pPr>
      <w:r w:rsidRPr="003D6651">
        <w:rPr>
          <w:rFonts w:ascii="Calibri" w:eastAsia="Times New Roman" w:hAnsi="Calibri" w:cs="Times New Roman"/>
          <w:color w:val="000000"/>
          <w:lang w:eastAsia="en-IE"/>
        </w:rPr>
        <w:t>Sand with Gastrosaccus spinifer community complex</w:t>
      </w:r>
    </w:p>
    <w:p w:rsidR="003D6651" w:rsidRPr="003D6651" w:rsidRDefault="003D6651" w:rsidP="00CB62FC">
      <w:pPr>
        <w:pStyle w:val="ListParagraph"/>
        <w:numPr>
          <w:ilvl w:val="0"/>
          <w:numId w:val="2"/>
        </w:numPr>
        <w:spacing w:after="120"/>
        <w:ind w:hanging="357"/>
        <w:rPr>
          <w:rFonts w:ascii="Calibri" w:eastAsia="Times New Roman" w:hAnsi="Calibri" w:cs="Times New Roman"/>
          <w:color w:val="000000"/>
          <w:lang w:eastAsia="en-IE"/>
        </w:rPr>
      </w:pPr>
      <w:r w:rsidRPr="003D6651">
        <w:rPr>
          <w:rFonts w:ascii="Calibri" w:eastAsia="Times New Roman" w:hAnsi="Calibri" w:cs="Times New Roman"/>
          <w:color w:val="000000"/>
          <w:lang w:eastAsia="en-IE"/>
        </w:rPr>
        <w:t>Fine sand with Angulus fabula community complex</w:t>
      </w:r>
    </w:p>
    <w:p w:rsidR="003D6651" w:rsidRPr="003D6651" w:rsidRDefault="003D6651" w:rsidP="00CB62FC">
      <w:pPr>
        <w:pStyle w:val="ListParagraph"/>
        <w:numPr>
          <w:ilvl w:val="0"/>
          <w:numId w:val="2"/>
        </w:numPr>
        <w:spacing w:after="120"/>
        <w:ind w:hanging="357"/>
        <w:rPr>
          <w:rFonts w:ascii="Calibri" w:eastAsia="Times New Roman" w:hAnsi="Calibri" w:cs="Times New Roman"/>
          <w:color w:val="000000"/>
          <w:lang w:eastAsia="en-IE"/>
        </w:rPr>
      </w:pPr>
      <w:r w:rsidRPr="003D6651">
        <w:rPr>
          <w:rFonts w:ascii="Calibri" w:eastAsia="Times New Roman" w:hAnsi="Calibri" w:cs="Times New Roman"/>
          <w:color w:val="000000"/>
          <w:lang w:eastAsia="en-IE"/>
        </w:rPr>
        <w:t>Zostera-dominated community</w:t>
      </w:r>
    </w:p>
    <w:p w:rsidR="003D6651" w:rsidRPr="003D6651" w:rsidRDefault="003D6651" w:rsidP="00CB62FC">
      <w:pPr>
        <w:pStyle w:val="ListParagraph"/>
        <w:numPr>
          <w:ilvl w:val="0"/>
          <w:numId w:val="2"/>
        </w:numPr>
        <w:spacing w:after="120"/>
        <w:ind w:hanging="357"/>
        <w:rPr>
          <w:rFonts w:ascii="Calibri" w:eastAsia="Times New Roman" w:hAnsi="Calibri" w:cs="Times New Roman"/>
          <w:color w:val="000000"/>
          <w:lang w:eastAsia="en-IE"/>
        </w:rPr>
      </w:pPr>
      <w:r w:rsidRPr="003D6651">
        <w:rPr>
          <w:rFonts w:ascii="Calibri" w:eastAsia="Times New Roman" w:hAnsi="Calibri" w:cs="Times New Roman"/>
          <w:color w:val="000000"/>
          <w:lang w:eastAsia="en-IE"/>
        </w:rPr>
        <w:lastRenderedPageBreak/>
        <w:t>Maërl-dominated community</w:t>
      </w:r>
    </w:p>
    <w:p w:rsidR="003D6651" w:rsidRPr="003D6651" w:rsidRDefault="003D6651" w:rsidP="00CB62FC">
      <w:pPr>
        <w:pStyle w:val="ListParagraph"/>
        <w:numPr>
          <w:ilvl w:val="0"/>
          <w:numId w:val="2"/>
        </w:numPr>
        <w:spacing w:after="120"/>
        <w:ind w:hanging="357"/>
        <w:rPr>
          <w:rFonts w:ascii="Calibri" w:eastAsia="Times New Roman" w:hAnsi="Calibri" w:cs="Times New Roman"/>
          <w:color w:val="000000"/>
          <w:lang w:eastAsia="en-IE"/>
        </w:rPr>
      </w:pPr>
      <w:r w:rsidRPr="003D6651">
        <w:rPr>
          <w:rFonts w:ascii="Calibri" w:eastAsia="Times New Roman" w:hAnsi="Calibri" w:cs="Times New Roman"/>
          <w:color w:val="000000"/>
          <w:lang w:eastAsia="en-IE"/>
        </w:rPr>
        <w:t>Serpula vermicularis-dominated community complex</w:t>
      </w:r>
    </w:p>
    <w:p w:rsidR="003D6651" w:rsidRPr="003D6651" w:rsidRDefault="003D6651" w:rsidP="00CB62FC">
      <w:pPr>
        <w:pStyle w:val="ListParagraph"/>
        <w:numPr>
          <w:ilvl w:val="0"/>
          <w:numId w:val="2"/>
        </w:numPr>
        <w:spacing w:after="120"/>
        <w:ind w:hanging="357"/>
        <w:rPr>
          <w:rFonts w:ascii="Calibri" w:eastAsia="Times New Roman" w:hAnsi="Calibri" w:cs="Times New Roman"/>
          <w:color w:val="000000"/>
          <w:lang w:eastAsia="en-IE"/>
        </w:rPr>
      </w:pPr>
      <w:r w:rsidRPr="003D6651">
        <w:rPr>
          <w:rFonts w:ascii="Calibri" w:eastAsia="Times New Roman" w:hAnsi="Calibri" w:cs="Times New Roman"/>
          <w:color w:val="000000"/>
          <w:lang w:eastAsia="en-IE"/>
        </w:rPr>
        <w:t>Sheltered subtidal reef community complex</w:t>
      </w:r>
    </w:p>
    <w:p w:rsidR="003D6651" w:rsidRDefault="003D6651" w:rsidP="00CB62FC">
      <w:pPr>
        <w:pStyle w:val="ListParagraph"/>
        <w:numPr>
          <w:ilvl w:val="0"/>
          <w:numId w:val="2"/>
        </w:numPr>
        <w:spacing w:after="120"/>
        <w:ind w:hanging="357"/>
        <w:rPr>
          <w:rFonts w:ascii="Calibri" w:eastAsia="Times New Roman" w:hAnsi="Calibri" w:cs="Times New Roman"/>
          <w:color w:val="000000"/>
          <w:lang w:eastAsia="en-IE"/>
        </w:rPr>
      </w:pPr>
      <w:r w:rsidRPr="003D6651">
        <w:rPr>
          <w:rFonts w:ascii="Calibri" w:eastAsia="Times New Roman" w:hAnsi="Calibri" w:cs="Times New Roman"/>
          <w:color w:val="000000"/>
          <w:lang w:eastAsia="en-IE"/>
        </w:rPr>
        <w:t>Laminaria-dominated community complex</w:t>
      </w:r>
    </w:p>
    <w:p w:rsidR="003D6651" w:rsidRDefault="003D6651" w:rsidP="00CB62FC">
      <w:pPr>
        <w:pStyle w:val="ListParagraph"/>
        <w:numPr>
          <w:ilvl w:val="0"/>
          <w:numId w:val="2"/>
        </w:numPr>
        <w:spacing w:after="120"/>
        <w:ind w:hanging="357"/>
        <w:rPr>
          <w:rFonts w:ascii="Calibri" w:eastAsia="Times New Roman" w:hAnsi="Calibri" w:cs="Times New Roman"/>
          <w:color w:val="000000"/>
          <w:lang w:eastAsia="en-IE"/>
        </w:rPr>
      </w:pPr>
      <w:r>
        <w:rPr>
          <w:rFonts w:ascii="Calibri" w:eastAsia="Times New Roman" w:hAnsi="Calibri" w:cs="Times New Roman"/>
          <w:color w:val="000000"/>
          <w:lang w:eastAsia="en-IE"/>
        </w:rPr>
        <w:t>Shingle</w:t>
      </w:r>
    </w:p>
    <w:p w:rsidR="003D6651" w:rsidRDefault="003D6651" w:rsidP="00CB62FC">
      <w:pPr>
        <w:pStyle w:val="ListParagraph"/>
        <w:numPr>
          <w:ilvl w:val="0"/>
          <w:numId w:val="2"/>
        </w:numPr>
        <w:spacing w:after="120"/>
        <w:ind w:hanging="357"/>
        <w:rPr>
          <w:rFonts w:ascii="Calibri" w:eastAsia="Times New Roman" w:hAnsi="Calibri" w:cs="Times New Roman"/>
          <w:color w:val="000000"/>
          <w:lang w:eastAsia="en-IE"/>
        </w:rPr>
      </w:pPr>
      <w:r>
        <w:rPr>
          <w:rFonts w:ascii="Calibri" w:eastAsia="Times New Roman" w:hAnsi="Calibri" w:cs="Times New Roman"/>
          <w:color w:val="000000"/>
          <w:lang w:eastAsia="en-IE"/>
        </w:rPr>
        <w:t>Intertidal reef community complex</w:t>
      </w:r>
    </w:p>
    <w:p w:rsidR="00A50264" w:rsidRDefault="00A50264" w:rsidP="00CB62FC">
      <w:pPr>
        <w:pStyle w:val="ListParagraph"/>
        <w:numPr>
          <w:ilvl w:val="0"/>
          <w:numId w:val="2"/>
        </w:numPr>
        <w:spacing w:after="120"/>
        <w:ind w:hanging="357"/>
        <w:rPr>
          <w:rFonts w:ascii="Calibri" w:eastAsia="Times New Roman" w:hAnsi="Calibri" w:cs="Times New Roman"/>
          <w:color w:val="000000"/>
          <w:lang w:eastAsia="en-IE"/>
        </w:rPr>
      </w:pPr>
      <w:r w:rsidRPr="003D6651">
        <w:rPr>
          <w:rFonts w:ascii="Calibri" w:eastAsia="Times New Roman" w:hAnsi="Calibri" w:cs="Times New Roman"/>
          <w:color w:val="000000"/>
          <w:lang w:eastAsia="en-IE"/>
        </w:rPr>
        <w:t>Sand with Angulus tenuis and Pygospio elegans community complex</w:t>
      </w:r>
      <w:r>
        <w:rPr>
          <w:rFonts w:ascii="Calibri" w:eastAsia="Times New Roman" w:hAnsi="Calibri" w:cs="Times New Roman"/>
          <w:color w:val="000000"/>
          <w:lang w:eastAsia="en-IE"/>
        </w:rPr>
        <w:t xml:space="preserve"> (intertidal)</w:t>
      </w:r>
    </w:p>
    <w:p w:rsidR="00A50264" w:rsidRPr="00A50264" w:rsidRDefault="00A50264" w:rsidP="00CB62FC">
      <w:pPr>
        <w:pStyle w:val="ListParagraph"/>
        <w:numPr>
          <w:ilvl w:val="0"/>
          <w:numId w:val="2"/>
        </w:numPr>
        <w:spacing w:after="120"/>
        <w:ind w:hanging="357"/>
        <w:rPr>
          <w:rFonts w:ascii="Calibri" w:eastAsia="Times New Roman" w:hAnsi="Calibri" w:cs="Times New Roman"/>
          <w:color w:val="000000"/>
          <w:lang w:eastAsia="en-IE"/>
        </w:rPr>
      </w:pPr>
      <w:r w:rsidRPr="003D6651">
        <w:rPr>
          <w:rFonts w:ascii="Calibri" w:eastAsia="Times New Roman" w:hAnsi="Calibri" w:cs="Times New Roman"/>
          <w:color w:val="000000"/>
          <w:lang w:eastAsia="en-IE"/>
        </w:rPr>
        <w:t>Mobile sand with Bathyporeia guilliamsoniana community</w:t>
      </w:r>
      <w:r>
        <w:rPr>
          <w:rFonts w:ascii="Calibri" w:eastAsia="Times New Roman" w:hAnsi="Calibri" w:cs="Times New Roman"/>
          <w:color w:val="000000"/>
          <w:lang w:eastAsia="en-IE"/>
        </w:rPr>
        <w:t xml:space="preserve"> (intertidal)</w:t>
      </w:r>
    </w:p>
    <w:p w:rsidR="003D6651" w:rsidRDefault="003D6651" w:rsidP="003D6651">
      <w:pPr>
        <w:spacing w:after="120" w:line="240" w:lineRule="auto"/>
        <w:rPr>
          <w:rFonts w:ascii="Calibri" w:eastAsia="Times New Roman" w:hAnsi="Calibri" w:cs="Times New Roman"/>
          <w:color w:val="000000"/>
          <w:lang w:eastAsia="en-IE"/>
        </w:rPr>
      </w:pPr>
    </w:p>
    <w:p w:rsidR="003D6651" w:rsidRDefault="003D6651" w:rsidP="003D6651">
      <w:pPr>
        <w:spacing w:after="120" w:line="240" w:lineRule="auto"/>
        <w:rPr>
          <w:rFonts w:ascii="Calibri" w:eastAsia="Times New Roman" w:hAnsi="Calibri" w:cs="Times New Roman"/>
          <w:color w:val="000000"/>
          <w:lang w:eastAsia="en-IE"/>
        </w:rPr>
      </w:pPr>
      <w:r>
        <w:rPr>
          <w:rFonts w:ascii="Calibri" w:eastAsia="Times New Roman" w:hAnsi="Calibri" w:cs="Times New Roman"/>
          <w:color w:val="000000"/>
          <w:lang w:eastAsia="en-IE"/>
        </w:rPr>
        <w:t>As scallop do not occur in the following habitats fishing will not overlap with them</w:t>
      </w:r>
    </w:p>
    <w:p w:rsidR="003D6651" w:rsidRDefault="003D6651" w:rsidP="003D6651">
      <w:pPr>
        <w:pStyle w:val="ListParagraph"/>
        <w:numPr>
          <w:ilvl w:val="0"/>
          <w:numId w:val="2"/>
        </w:numPr>
        <w:spacing w:after="120" w:line="240" w:lineRule="auto"/>
        <w:rPr>
          <w:rFonts w:ascii="Calibri" w:eastAsia="Times New Roman" w:hAnsi="Calibri" w:cs="Times New Roman"/>
          <w:color w:val="000000"/>
          <w:lang w:eastAsia="en-IE"/>
        </w:rPr>
      </w:pPr>
      <w:r>
        <w:rPr>
          <w:rFonts w:ascii="Calibri" w:eastAsia="Times New Roman" w:hAnsi="Calibri" w:cs="Times New Roman"/>
          <w:color w:val="000000"/>
          <w:lang w:eastAsia="en-IE"/>
        </w:rPr>
        <w:t>Shingle</w:t>
      </w:r>
    </w:p>
    <w:p w:rsidR="003D6651" w:rsidRDefault="003D6651" w:rsidP="003D6651">
      <w:pPr>
        <w:pStyle w:val="ListParagraph"/>
        <w:numPr>
          <w:ilvl w:val="0"/>
          <w:numId w:val="2"/>
        </w:numPr>
        <w:spacing w:after="120" w:line="240" w:lineRule="auto"/>
        <w:rPr>
          <w:rFonts w:ascii="Calibri" w:eastAsia="Times New Roman" w:hAnsi="Calibri" w:cs="Times New Roman"/>
          <w:color w:val="000000"/>
          <w:lang w:eastAsia="en-IE"/>
        </w:rPr>
      </w:pPr>
      <w:r>
        <w:rPr>
          <w:rFonts w:ascii="Calibri" w:eastAsia="Times New Roman" w:hAnsi="Calibri" w:cs="Times New Roman"/>
          <w:color w:val="000000"/>
          <w:lang w:eastAsia="en-IE"/>
        </w:rPr>
        <w:t>Intertidal reef community complex</w:t>
      </w:r>
    </w:p>
    <w:p w:rsidR="00A50264" w:rsidRDefault="00A50264" w:rsidP="00A50264">
      <w:pPr>
        <w:pStyle w:val="ListParagraph"/>
        <w:numPr>
          <w:ilvl w:val="0"/>
          <w:numId w:val="2"/>
        </w:numPr>
        <w:spacing w:after="120" w:line="240" w:lineRule="auto"/>
        <w:ind w:hanging="357"/>
        <w:rPr>
          <w:rFonts w:ascii="Calibri" w:eastAsia="Times New Roman" w:hAnsi="Calibri" w:cs="Times New Roman"/>
          <w:color w:val="000000"/>
          <w:lang w:eastAsia="en-IE"/>
        </w:rPr>
      </w:pPr>
      <w:r w:rsidRPr="003D6651">
        <w:rPr>
          <w:rFonts w:ascii="Calibri" w:eastAsia="Times New Roman" w:hAnsi="Calibri" w:cs="Times New Roman"/>
          <w:color w:val="000000"/>
          <w:lang w:eastAsia="en-IE"/>
        </w:rPr>
        <w:t>Sand with Angulus tenuis and Pygospio elegans community complex</w:t>
      </w:r>
      <w:r>
        <w:rPr>
          <w:rFonts w:ascii="Calibri" w:eastAsia="Times New Roman" w:hAnsi="Calibri" w:cs="Times New Roman"/>
          <w:color w:val="000000"/>
          <w:lang w:eastAsia="en-IE"/>
        </w:rPr>
        <w:t xml:space="preserve"> (intertidal)</w:t>
      </w:r>
    </w:p>
    <w:p w:rsidR="0059191B" w:rsidRDefault="00A50264" w:rsidP="0059191B">
      <w:pPr>
        <w:pStyle w:val="ListParagraph"/>
        <w:numPr>
          <w:ilvl w:val="0"/>
          <w:numId w:val="2"/>
        </w:numPr>
        <w:spacing w:after="120" w:line="240" w:lineRule="auto"/>
        <w:ind w:hanging="357"/>
        <w:rPr>
          <w:rFonts w:ascii="Calibri" w:eastAsia="Times New Roman" w:hAnsi="Calibri" w:cs="Times New Roman"/>
          <w:color w:val="000000"/>
          <w:lang w:eastAsia="en-IE"/>
        </w:rPr>
      </w:pPr>
      <w:r w:rsidRPr="003D6651">
        <w:rPr>
          <w:rFonts w:ascii="Calibri" w:eastAsia="Times New Roman" w:hAnsi="Calibri" w:cs="Times New Roman"/>
          <w:color w:val="000000"/>
          <w:lang w:eastAsia="en-IE"/>
        </w:rPr>
        <w:t>Mobile sand with Bathyporeia guilliamsoniana community</w:t>
      </w:r>
      <w:r>
        <w:rPr>
          <w:rFonts w:ascii="Calibri" w:eastAsia="Times New Roman" w:hAnsi="Calibri" w:cs="Times New Roman"/>
          <w:color w:val="000000"/>
          <w:lang w:eastAsia="en-IE"/>
        </w:rPr>
        <w:t xml:space="preserve"> (intertidal)</w:t>
      </w:r>
    </w:p>
    <w:p w:rsidR="00BE2696" w:rsidRPr="00BE2696" w:rsidRDefault="00BE2696" w:rsidP="001401D8">
      <w:pPr>
        <w:pStyle w:val="ListParagraph"/>
        <w:spacing w:after="120" w:line="240" w:lineRule="auto"/>
        <w:ind w:left="811"/>
        <w:rPr>
          <w:rFonts w:ascii="Calibri" w:eastAsia="Times New Roman" w:hAnsi="Calibri" w:cs="Times New Roman"/>
          <w:color w:val="000000"/>
          <w:lang w:eastAsia="en-IE"/>
        </w:rPr>
      </w:pPr>
    </w:p>
    <w:p w:rsidR="0059191B" w:rsidRDefault="0059191B" w:rsidP="0059191B">
      <w:pPr>
        <w:spacing w:after="120" w:line="240" w:lineRule="auto"/>
        <w:rPr>
          <w:rFonts w:ascii="Calibri" w:eastAsia="Times New Roman" w:hAnsi="Calibri" w:cs="Times New Roman"/>
          <w:color w:val="000000"/>
          <w:lang w:eastAsia="en-IE"/>
        </w:rPr>
      </w:pPr>
      <w:r>
        <w:rPr>
          <w:rFonts w:ascii="Calibri" w:eastAsia="Times New Roman" w:hAnsi="Calibri" w:cs="Times New Roman"/>
          <w:color w:val="000000"/>
          <w:lang w:eastAsia="en-IE"/>
        </w:rPr>
        <w:t xml:space="preserve">Scallop fisheries may therefore potentially overlap </w:t>
      </w:r>
      <w:r w:rsidR="001401D8">
        <w:rPr>
          <w:rFonts w:ascii="Calibri" w:eastAsia="Times New Roman" w:hAnsi="Calibri" w:cs="Times New Roman"/>
          <w:color w:val="000000"/>
          <w:lang w:eastAsia="en-IE"/>
        </w:rPr>
        <w:t xml:space="preserve">only </w:t>
      </w:r>
      <w:r>
        <w:rPr>
          <w:rFonts w:ascii="Calibri" w:eastAsia="Times New Roman" w:hAnsi="Calibri" w:cs="Times New Roman"/>
          <w:color w:val="000000"/>
          <w:lang w:eastAsia="en-IE"/>
        </w:rPr>
        <w:t xml:space="preserve">with the following habitats </w:t>
      </w:r>
    </w:p>
    <w:p w:rsidR="0059191B" w:rsidRPr="003D6651" w:rsidRDefault="0059191B" w:rsidP="0059191B">
      <w:pPr>
        <w:pStyle w:val="ListParagraph"/>
        <w:numPr>
          <w:ilvl w:val="0"/>
          <w:numId w:val="2"/>
        </w:numPr>
        <w:spacing w:after="120" w:line="240" w:lineRule="auto"/>
        <w:ind w:hanging="357"/>
        <w:rPr>
          <w:rFonts w:ascii="Calibri" w:eastAsia="Times New Roman" w:hAnsi="Calibri" w:cs="Times New Roman"/>
          <w:color w:val="000000"/>
          <w:lang w:eastAsia="en-IE"/>
        </w:rPr>
      </w:pPr>
      <w:r w:rsidRPr="003D6651">
        <w:rPr>
          <w:rFonts w:ascii="Calibri" w:eastAsia="Times New Roman" w:hAnsi="Calibri" w:cs="Times New Roman"/>
          <w:color w:val="000000"/>
          <w:lang w:eastAsia="en-IE"/>
        </w:rPr>
        <w:t>Sand with Gastrosaccus spinifer community complex</w:t>
      </w:r>
    </w:p>
    <w:p w:rsidR="0059191B" w:rsidRPr="003D6651" w:rsidRDefault="0059191B" w:rsidP="0059191B">
      <w:pPr>
        <w:pStyle w:val="ListParagraph"/>
        <w:numPr>
          <w:ilvl w:val="0"/>
          <w:numId w:val="2"/>
        </w:numPr>
        <w:spacing w:after="120" w:line="240" w:lineRule="auto"/>
        <w:ind w:hanging="357"/>
        <w:rPr>
          <w:rFonts w:ascii="Calibri" w:eastAsia="Times New Roman" w:hAnsi="Calibri" w:cs="Times New Roman"/>
          <w:color w:val="000000"/>
          <w:lang w:eastAsia="en-IE"/>
        </w:rPr>
      </w:pPr>
      <w:r w:rsidRPr="003D6651">
        <w:rPr>
          <w:rFonts w:ascii="Calibri" w:eastAsia="Times New Roman" w:hAnsi="Calibri" w:cs="Times New Roman"/>
          <w:color w:val="000000"/>
          <w:lang w:eastAsia="en-IE"/>
        </w:rPr>
        <w:t>Fine sand with Angulus fabula community complex</w:t>
      </w:r>
    </w:p>
    <w:p w:rsidR="0059191B" w:rsidRPr="003D6651" w:rsidRDefault="0059191B" w:rsidP="0059191B">
      <w:pPr>
        <w:pStyle w:val="ListParagraph"/>
        <w:numPr>
          <w:ilvl w:val="0"/>
          <w:numId w:val="2"/>
        </w:numPr>
        <w:spacing w:after="120" w:line="240" w:lineRule="auto"/>
        <w:ind w:hanging="357"/>
        <w:rPr>
          <w:rFonts w:ascii="Calibri" w:eastAsia="Times New Roman" w:hAnsi="Calibri" w:cs="Times New Roman"/>
          <w:color w:val="000000"/>
          <w:lang w:eastAsia="en-IE"/>
        </w:rPr>
      </w:pPr>
      <w:r w:rsidRPr="003D6651">
        <w:rPr>
          <w:rFonts w:ascii="Calibri" w:eastAsia="Times New Roman" w:hAnsi="Calibri" w:cs="Times New Roman"/>
          <w:color w:val="000000"/>
          <w:lang w:eastAsia="en-IE"/>
        </w:rPr>
        <w:t>Zostera-dominated community</w:t>
      </w:r>
    </w:p>
    <w:p w:rsidR="0059191B" w:rsidRPr="003D6651" w:rsidRDefault="0059191B" w:rsidP="0059191B">
      <w:pPr>
        <w:pStyle w:val="ListParagraph"/>
        <w:numPr>
          <w:ilvl w:val="0"/>
          <w:numId w:val="2"/>
        </w:numPr>
        <w:spacing w:after="120" w:line="240" w:lineRule="auto"/>
        <w:ind w:hanging="357"/>
        <w:rPr>
          <w:rFonts w:ascii="Calibri" w:eastAsia="Times New Roman" w:hAnsi="Calibri" w:cs="Times New Roman"/>
          <w:color w:val="000000"/>
          <w:lang w:eastAsia="en-IE"/>
        </w:rPr>
      </w:pPr>
      <w:r w:rsidRPr="003D6651">
        <w:rPr>
          <w:rFonts w:ascii="Calibri" w:eastAsia="Times New Roman" w:hAnsi="Calibri" w:cs="Times New Roman"/>
          <w:color w:val="000000"/>
          <w:lang w:eastAsia="en-IE"/>
        </w:rPr>
        <w:t>Maërl-dominated community</w:t>
      </w:r>
    </w:p>
    <w:p w:rsidR="0059191B" w:rsidRPr="003D6651" w:rsidRDefault="0059191B" w:rsidP="0059191B">
      <w:pPr>
        <w:pStyle w:val="ListParagraph"/>
        <w:numPr>
          <w:ilvl w:val="0"/>
          <w:numId w:val="2"/>
        </w:numPr>
        <w:spacing w:after="120" w:line="240" w:lineRule="auto"/>
        <w:ind w:hanging="357"/>
        <w:rPr>
          <w:rFonts w:ascii="Calibri" w:eastAsia="Times New Roman" w:hAnsi="Calibri" w:cs="Times New Roman"/>
          <w:color w:val="000000"/>
          <w:lang w:eastAsia="en-IE"/>
        </w:rPr>
      </w:pPr>
      <w:r w:rsidRPr="003D6651">
        <w:rPr>
          <w:rFonts w:ascii="Calibri" w:eastAsia="Times New Roman" w:hAnsi="Calibri" w:cs="Times New Roman"/>
          <w:color w:val="000000"/>
          <w:lang w:eastAsia="en-IE"/>
        </w:rPr>
        <w:t>Serpula vermicularis-dominated community complex</w:t>
      </w:r>
    </w:p>
    <w:p w:rsidR="0059191B" w:rsidRPr="003D6651" w:rsidRDefault="0059191B" w:rsidP="0059191B">
      <w:pPr>
        <w:pStyle w:val="ListParagraph"/>
        <w:numPr>
          <w:ilvl w:val="0"/>
          <w:numId w:val="2"/>
        </w:numPr>
        <w:spacing w:after="120" w:line="240" w:lineRule="auto"/>
        <w:ind w:hanging="357"/>
        <w:rPr>
          <w:rFonts w:ascii="Calibri" w:eastAsia="Times New Roman" w:hAnsi="Calibri" w:cs="Times New Roman"/>
          <w:color w:val="000000"/>
          <w:lang w:eastAsia="en-IE"/>
        </w:rPr>
      </w:pPr>
      <w:r w:rsidRPr="003D6651">
        <w:rPr>
          <w:rFonts w:ascii="Calibri" w:eastAsia="Times New Roman" w:hAnsi="Calibri" w:cs="Times New Roman"/>
          <w:color w:val="000000"/>
          <w:lang w:eastAsia="en-IE"/>
        </w:rPr>
        <w:t>Sheltered subtidal reef community complex</w:t>
      </w:r>
    </w:p>
    <w:p w:rsidR="0059191B" w:rsidRDefault="0059191B" w:rsidP="0059191B">
      <w:pPr>
        <w:pStyle w:val="ListParagraph"/>
        <w:numPr>
          <w:ilvl w:val="0"/>
          <w:numId w:val="2"/>
        </w:numPr>
        <w:spacing w:after="120" w:line="240" w:lineRule="auto"/>
        <w:ind w:hanging="357"/>
        <w:rPr>
          <w:rFonts w:ascii="Calibri" w:eastAsia="Times New Roman" w:hAnsi="Calibri" w:cs="Times New Roman"/>
          <w:color w:val="000000"/>
          <w:lang w:eastAsia="en-IE"/>
        </w:rPr>
      </w:pPr>
      <w:r w:rsidRPr="003D6651">
        <w:rPr>
          <w:rFonts w:ascii="Calibri" w:eastAsia="Times New Roman" w:hAnsi="Calibri" w:cs="Times New Roman"/>
          <w:color w:val="000000"/>
          <w:lang w:eastAsia="en-IE"/>
        </w:rPr>
        <w:t>Laminaria-dominated community complex</w:t>
      </w:r>
    </w:p>
    <w:p w:rsidR="0059191B" w:rsidRPr="0059191B" w:rsidRDefault="0059191B" w:rsidP="0059191B">
      <w:pPr>
        <w:pStyle w:val="ListParagraph"/>
        <w:spacing w:after="120" w:line="240" w:lineRule="auto"/>
        <w:ind w:left="811"/>
        <w:rPr>
          <w:rFonts w:ascii="Calibri" w:eastAsia="Times New Roman" w:hAnsi="Calibri" w:cs="Times New Roman"/>
          <w:color w:val="000000"/>
          <w:lang w:eastAsia="en-IE"/>
        </w:rPr>
      </w:pPr>
    </w:p>
    <w:p w:rsidR="00180E0E" w:rsidRPr="00480CD3" w:rsidRDefault="00180E0E" w:rsidP="00480CD3">
      <w:pPr>
        <w:spacing w:after="120" w:line="240" w:lineRule="auto"/>
        <w:rPr>
          <w:rFonts w:ascii="Calibri" w:eastAsia="Times New Roman" w:hAnsi="Calibri" w:cs="Times New Roman"/>
          <w:color w:val="000000"/>
          <w:lang w:eastAsia="en-IE"/>
        </w:rPr>
      </w:pPr>
      <w:r>
        <w:rPr>
          <w:noProof/>
          <w:lang w:eastAsia="en-IE"/>
        </w:rPr>
        <w:lastRenderedPageBreak/>
        <w:drawing>
          <wp:inline distT="0" distB="0" distL="0" distR="0">
            <wp:extent cx="3769629" cy="5333739"/>
            <wp:effectExtent l="19050" t="0" r="2271" b="0"/>
            <wp:docPr id="2" name="Picture 2" descr="C:\Users\otully\Desktop\Blacksod_Scallop\Blacksod Habit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ully\Desktop\Blacksod_Scallop\Blacksod Habitats.jpg"/>
                    <pic:cNvPicPr>
                      <a:picLocks noChangeAspect="1" noChangeArrowheads="1"/>
                    </pic:cNvPicPr>
                  </pic:nvPicPr>
                  <pic:blipFill>
                    <a:blip r:embed="rId8" cstate="print"/>
                    <a:srcRect/>
                    <a:stretch>
                      <a:fillRect/>
                    </a:stretch>
                  </pic:blipFill>
                  <pic:spPr bwMode="auto">
                    <a:xfrm>
                      <a:off x="0" y="0"/>
                      <a:ext cx="3771890" cy="5336939"/>
                    </a:xfrm>
                    <a:prstGeom prst="rect">
                      <a:avLst/>
                    </a:prstGeom>
                    <a:noFill/>
                    <a:ln w="9525">
                      <a:noFill/>
                      <a:miter lim="800000"/>
                      <a:headEnd/>
                      <a:tailEnd/>
                    </a:ln>
                  </pic:spPr>
                </pic:pic>
              </a:graphicData>
            </a:graphic>
          </wp:inline>
        </w:drawing>
      </w:r>
    </w:p>
    <w:p w:rsidR="003D6651" w:rsidRDefault="003D6651" w:rsidP="003D6651">
      <w:pPr>
        <w:spacing w:after="0" w:line="240" w:lineRule="auto"/>
        <w:rPr>
          <w:rFonts w:ascii="Calibri" w:eastAsia="Times New Roman" w:hAnsi="Calibri" w:cs="Times New Roman"/>
          <w:color w:val="000000"/>
          <w:lang w:eastAsia="en-IE"/>
        </w:rPr>
      </w:pPr>
    </w:p>
    <w:p w:rsidR="00180E0E" w:rsidRDefault="00180E0E" w:rsidP="003D6651">
      <w:pPr>
        <w:spacing w:after="0" w:line="240" w:lineRule="auto"/>
        <w:rPr>
          <w:rFonts w:ascii="Calibri" w:eastAsia="Times New Roman" w:hAnsi="Calibri" w:cs="Times New Roman"/>
          <w:color w:val="000000"/>
          <w:lang w:eastAsia="en-IE"/>
        </w:rPr>
      </w:pPr>
      <w:r>
        <w:rPr>
          <w:rFonts w:ascii="Calibri" w:eastAsia="Times New Roman" w:hAnsi="Calibri" w:cs="Times New Roman"/>
          <w:noProof/>
          <w:color w:val="000000"/>
          <w:lang w:eastAsia="en-IE"/>
        </w:rPr>
        <w:drawing>
          <wp:inline distT="0" distB="0" distL="0" distR="0">
            <wp:extent cx="2970211" cy="196702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970356" cy="1967119"/>
                    </a:xfrm>
                    <a:prstGeom prst="rect">
                      <a:avLst/>
                    </a:prstGeom>
                    <a:noFill/>
                    <a:ln w="9525">
                      <a:noFill/>
                      <a:miter lim="800000"/>
                      <a:headEnd/>
                      <a:tailEnd/>
                    </a:ln>
                  </pic:spPr>
                </pic:pic>
              </a:graphicData>
            </a:graphic>
          </wp:inline>
        </w:drawing>
      </w:r>
    </w:p>
    <w:p w:rsidR="00180E0E" w:rsidRDefault="00180E0E" w:rsidP="00180E0E">
      <w:pPr>
        <w:pStyle w:val="Caption"/>
      </w:pPr>
    </w:p>
    <w:p w:rsidR="00180E0E" w:rsidRDefault="00180E0E" w:rsidP="00180E0E">
      <w:pPr>
        <w:pStyle w:val="Caption"/>
      </w:pPr>
      <w:bookmarkStart w:id="0" w:name="_Ref421203253"/>
      <w:r>
        <w:t xml:space="preserve">Figure </w:t>
      </w:r>
      <w:r w:rsidR="00653AFD">
        <w:fldChar w:fldCharType="begin"/>
      </w:r>
      <w:r>
        <w:instrText xml:space="preserve"> SEQ Figure \* ARABIC </w:instrText>
      </w:r>
      <w:r w:rsidR="00653AFD">
        <w:fldChar w:fldCharType="separate"/>
      </w:r>
      <w:r w:rsidR="00337EFC">
        <w:rPr>
          <w:noProof/>
        </w:rPr>
        <w:t>1</w:t>
      </w:r>
      <w:r w:rsidR="00653AFD">
        <w:fldChar w:fldCharType="end"/>
      </w:r>
      <w:bookmarkEnd w:id="0"/>
      <w:r>
        <w:t>. Marine Habitats in Mullet/Blacksod bay SAC (source: NPWS geodatabase April 2015)</w:t>
      </w:r>
    </w:p>
    <w:p w:rsidR="00BE2696" w:rsidRDefault="00BE2696" w:rsidP="0067335B">
      <w:pPr>
        <w:pStyle w:val="Heading2"/>
      </w:pPr>
    </w:p>
    <w:p w:rsidR="0067335B" w:rsidRDefault="0067335B" w:rsidP="0067335B">
      <w:pPr>
        <w:pStyle w:val="Heading2"/>
      </w:pPr>
      <w:r>
        <w:t>Guidance on specific conservation objectives for marine habitats</w:t>
      </w:r>
    </w:p>
    <w:p w:rsidR="00E02BC8" w:rsidRDefault="00E02BC8" w:rsidP="00E02BC8">
      <w:r>
        <w:t xml:space="preserve">The conservation targets established by NPWS for marine communities recognises that such habitats have different sensitivities to physical disturbance. In this respect there are two important and separate components of habitat sensitivity that are relevant to the mitigation of risk posed by scallop fishing. Sensitivity is a composite of the resistance and resilience of a habitat when exposed to a physical pressure such as scallop dredging. It is clear from various studies that few habitats have any significant resistance to the surface and sub-surface benthic pressures caused by scallop gear. However, habitats vary in their resilience to such pressure in that some habitats can recovery more quickly than others. The rate of recovery following a disturbance is an important consideration in that habitats which show rapid recovery could be in good condition even if disturbed frequently whereas habitats with poor recovery could only be disturbed very infrequently if the objective was to maintain them in good condition. As outlined in the conservation objective guidance documents from NPWS the scale of disturbance (the % of the habitat that is disturbed) and the persistence of the disturbance is relevant to achievement of favourable conservation status of habitats. The conservation status is reported to the EU Commission every 6 years as directed by Article 17 of the Habitats Directive. </w:t>
      </w:r>
    </w:p>
    <w:p w:rsidR="00E02BC8" w:rsidRDefault="00E02BC8" w:rsidP="00E02BC8">
      <w:r>
        <w:t xml:space="preserve">In the case of Mullet / Blacksod SAC habitats the conservation objective targets published by NPWS are related to the sensitivity of the </w:t>
      </w:r>
      <w:r w:rsidR="007B11E7">
        <w:t>habitat</w:t>
      </w:r>
      <w:r w:rsidR="00BE2696">
        <w:t>s to fishing gears</w:t>
      </w:r>
      <w:r w:rsidR="007B11E7">
        <w:t xml:space="preserve"> (</w:t>
      </w:r>
      <w:r w:rsidR="00653AFD">
        <w:fldChar w:fldCharType="begin"/>
      </w:r>
      <w:r w:rsidR="007B11E7">
        <w:instrText xml:space="preserve"> REF _Ref421116899 \h </w:instrText>
      </w:r>
      <w:r w:rsidR="00653AFD">
        <w:fldChar w:fldCharType="separate"/>
      </w:r>
      <w:r w:rsidR="007B11E7">
        <w:t xml:space="preserve">Table </w:t>
      </w:r>
      <w:r w:rsidR="007B11E7">
        <w:rPr>
          <w:noProof/>
        </w:rPr>
        <w:t>1</w:t>
      </w:r>
      <w:r w:rsidR="00653AFD">
        <w:fldChar w:fldCharType="end"/>
      </w:r>
      <w:r w:rsidR="007B11E7">
        <w:t>).</w:t>
      </w:r>
    </w:p>
    <w:p w:rsidR="00E02BC8" w:rsidRPr="00E02BC8" w:rsidRDefault="00E02BC8" w:rsidP="00E02BC8"/>
    <w:p w:rsidR="0067335B" w:rsidRDefault="0067335B" w:rsidP="0067335B">
      <w:pPr>
        <w:pStyle w:val="Heading2"/>
      </w:pPr>
      <w:r w:rsidRPr="007B318A">
        <w:t>Mitigation plan</w:t>
      </w:r>
    </w:p>
    <w:p w:rsidR="00180E0E" w:rsidRDefault="00A50264" w:rsidP="00A50264">
      <w:pPr>
        <w:pStyle w:val="ListParagraph"/>
        <w:numPr>
          <w:ilvl w:val="0"/>
          <w:numId w:val="3"/>
        </w:numPr>
      </w:pPr>
      <w:r>
        <w:t>S</w:t>
      </w:r>
      <w:r w:rsidR="004E1C03">
        <w:t xml:space="preserve">callop fishing will be excluded, or in effect does not occur anyway, </w:t>
      </w:r>
      <w:r>
        <w:t>from the following habitats (</w:t>
      </w:r>
      <w:r w:rsidR="00653AFD">
        <w:fldChar w:fldCharType="begin"/>
      </w:r>
      <w:r>
        <w:instrText xml:space="preserve"> REF _Ref421116899 \h </w:instrText>
      </w:r>
      <w:r w:rsidR="00653AFD">
        <w:fldChar w:fldCharType="separate"/>
      </w:r>
      <w:r>
        <w:t xml:space="preserve">Table </w:t>
      </w:r>
      <w:r>
        <w:rPr>
          <w:noProof/>
        </w:rPr>
        <w:t>1</w:t>
      </w:r>
      <w:r w:rsidR="00653AFD">
        <w:fldChar w:fldCharType="end"/>
      </w:r>
      <w:r>
        <w:t xml:space="preserve">) and </w:t>
      </w:r>
      <w:r w:rsidR="004E1C03">
        <w:t xml:space="preserve">will be </w:t>
      </w:r>
      <w:r>
        <w:t>limited to the area defin</w:t>
      </w:r>
      <w:r w:rsidR="00BE663E">
        <w:t xml:space="preserve">ed by the co-ordinates shown in </w:t>
      </w:r>
      <w:r w:rsidR="00653AFD">
        <w:fldChar w:fldCharType="begin"/>
      </w:r>
      <w:r w:rsidR="004E1C03">
        <w:instrText xml:space="preserve"> REF _Ref421201239 \h </w:instrText>
      </w:r>
      <w:r w:rsidR="00653AFD">
        <w:fldChar w:fldCharType="separate"/>
      </w:r>
      <w:r w:rsidR="004E1C03">
        <w:t xml:space="preserve">Table </w:t>
      </w:r>
      <w:r w:rsidR="004E1C03">
        <w:rPr>
          <w:noProof/>
        </w:rPr>
        <w:t>2</w:t>
      </w:r>
      <w:r w:rsidR="00653AFD">
        <w:fldChar w:fldCharType="end"/>
      </w:r>
      <w:r w:rsidR="00CB62FC">
        <w:t xml:space="preserve"> and </w:t>
      </w:r>
      <w:r w:rsidR="00653AFD">
        <w:fldChar w:fldCharType="begin"/>
      </w:r>
      <w:r w:rsidR="00CB62FC">
        <w:instrText xml:space="preserve"> REF _Ref421203309 \h </w:instrText>
      </w:r>
      <w:r w:rsidR="00653AFD">
        <w:fldChar w:fldCharType="separate"/>
      </w:r>
      <w:r w:rsidR="00CB62FC">
        <w:t xml:space="preserve">Figure </w:t>
      </w:r>
      <w:r w:rsidR="00CB62FC">
        <w:rPr>
          <w:noProof/>
        </w:rPr>
        <w:t>2</w:t>
      </w:r>
      <w:r w:rsidR="00653AFD">
        <w:fldChar w:fldCharType="end"/>
      </w:r>
      <w:r>
        <w:t xml:space="preserve">. </w:t>
      </w:r>
    </w:p>
    <w:p w:rsidR="00A50264" w:rsidRDefault="00A50264" w:rsidP="00A50264">
      <w:pPr>
        <w:pStyle w:val="ListParagraph"/>
        <w:numPr>
          <w:ilvl w:val="1"/>
          <w:numId w:val="3"/>
        </w:numPr>
      </w:pPr>
      <w:r>
        <w:t>Seagrass</w:t>
      </w:r>
    </w:p>
    <w:p w:rsidR="00A50264" w:rsidRDefault="00A50264" w:rsidP="00A50264">
      <w:pPr>
        <w:pStyle w:val="ListParagraph"/>
        <w:numPr>
          <w:ilvl w:val="1"/>
          <w:numId w:val="3"/>
        </w:numPr>
      </w:pPr>
      <w:r>
        <w:t>Maerl</w:t>
      </w:r>
    </w:p>
    <w:p w:rsidR="00A50264" w:rsidRDefault="00A50264" w:rsidP="00A50264">
      <w:pPr>
        <w:pStyle w:val="ListParagraph"/>
        <w:numPr>
          <w:ilvl w:val="1"/>
          <w:numId w:val="3"/>
        </w:numPr>
      </w:pPr>
      <w:r>
        <w:t>Serpula vermicularis</w:t>
      </w:r>
    </w:p>
    <w:p w:rsidR="000D1B71" w:rsidRPr="00BA43E0" w:rsidRDefault="000D1B71" w:rsidP="00BA43E0">
      <w:pPr>
        <w:pStyle w:val="ListParagraph"/>
        <w:numPr>
          <w:ilvl w:val="1"/>
          <w:numId w:val="3"/>
        </w:numPr>
        <w:spacing w:after="120" w:line="240" w:lineRule="auto"/>
        <w:rPr>
          <w:rFonts w:ascii="Calibri" w:eastAsia="Times New Roman" w:hAnsi="Calibri" w:cs="Times New Roman"/>
          <w:color w:val="000000"/>
          <w:lang w:eastAsia="en-IE"/>
        </w:rPr>
      </w:pPr>
      <w:r w:rsidRPr="003D6651">
        <w:rPr>
          <w:rFonts w:ascii="Calibri" w:eastAsia="Times New Roman" w:hAnsi="Calibri" w:cs="Times New Roman"/>
          <w:color w:val="000000"/>
          <w:lang w:eastAsia="en-IE"/>
        </w:rPr>
        <w:t>Sheltered subtidal reef community complex</w:t>
      </w:r>
    </w:p>
    <w:p w:rsidR="00BE663E" w:rsidRDefault="00BE663E" w:rsidP="00294339">
      <w:pPr>
        <w:pStyle w:val="ListParagraph"/>
        <w:numPr>
          <w:ilvl w:val="1"/>
          <w:numId w:val="3"/>
        </w:numPr>
        <w:spacing w:after="120" w:line="240" w:lineRule="auto"/>
        <w:rPr>
          <w:rFonts w:ascii="Calibri" w:eastAsia="Times New Roman" w:hAnsi="Calibri" w:cs="Times New Roman"/>
          <w:color w:val="000000"/>
          <w:lang w:eastAsia="en-IE"/>
        </w:rPr>
      </w:pPr>
      <w:r>
        <w:rPr>
          <w:rFonts w:ascii="Calibri" w:eastAsia="Times New Roman" w:hAnsi="Calibri" w:cs="Times New Roman"/>
          <w:color w:val="000000"/>
          <w:lang w:eastAsia="en-IE"/>
        </w:rPr>
        <w:t>Mobile sand with B. Guilliamsoniana community</w:t>
      </w:r>
    </w:p>
    <w:p w:rsidR="001401D8" w:rsidRPr="00294339" w:rsidRDefault="001401D8" w:rsidP="001401D8">
      <w:pPr>
        <w:pStyle w:val="ListParagraph"/>
        <w:spacing w:after="120" w:line="240" w:lineRule="auto"/>
        <w:ind w:left="1440"/>
        <w:rPr>
          <w:rFonts w:ascii="Calibri" w:eastAsia="Times New Roman" w:hAnsi="Calibri" w:cs="Times New Roman"/>
          <w:color w:val="000000"/>
          <w:lang w:eastAsia="en-IE"/>
        </w:rPr>
      </w:pPr>
    </w:p>
    <w:p w:rsidR="00A50264" w:rsidRDefault="00A50264" w:rsidP="00A50264">
      <w:pPr>
        <w:pStyle w:val="ListParagraph"/>
        <w:numPr>
          <w:ilvl w:val="0"/>
          <w:numId w:val="3"/>
        </w:numPr>
      </w:pPr>
      <w:r>
        <w:t xml:space="preserve">Scallop fishing will potentially occur on </w:t>
      </w:r>
    </w:p>
    <w:p w:rsidR="00A50264" w:rsidRPr="003D6651" w:rsidRDefault="00A50264" w:rsidP="00A50264">
      <w:pPr>
        <w:pStyle w:val="ListParagraph"/>
        <w:numPr>
          <w:ilvl w:val="1"/>
          <w:numId w:val="3"/>
        </w:numPr>
        <w:spacing w:after="120" w:line="240" w:lineRule="auto"/>
        <w:rPr>
          <w:rFonts w:ascii="Calibri" w:eastAsia="Times New Roman" w:hAnsi="Calibri" w:cs="Times New Roman"/>
          <w:color w:val="000000"/>
          <w:lang w:eastAsia="en-IE"/>
        </w:rPr>
      </w:pPr>
      <w:r w:rsidRPr="003D6651">
        <w:rPr>
          <w:rFonts w:ascii="Calibri" w:eastAsia="Times New Roman" w:hAnsi="Calibri" w:cs="Times New Roman"/>
          <w:color w:val="000000"/>
          <w:lang w:eastAsia="en-IE"/>
        </w:rPr>
        <w:t>Sand with Gastrosaccus spinifer community complex</w:t>
      </w:r>
    </w:p>
    <w:p w:rsidR="00A50264" w:rsidRDefault="00A50264" w:rsidP="004E1C03">
      <w:pPr>
        <w:pStyle w:val="ListParagraph"/>
        <w:numPr>
          <w:ilvl w:val="1"/>
          <w:numId w:val="3"/>
        </w:numPr>
        <w:spacing w:after="120" w:line="240" w:lineRule="auto"/>
        <w:rPr>
          <w:rFonts w:ascii="Calibri" w:eastAsia="Times New Roman" w:hAnsi="Calibri" w:cs="Times New Roman"/>
          <w:color w:val="000000"/>
          <w:lang w:eastAsia="en-IE"/>
        </w:rPr>
      </w:pPr>
      <w:r w:rsidRPr="003D6651">
        <w:rPr>
          <w:rFonts w:ascii="Calibri" w:eastAsia="Times New Roman" w:hAnsi="Calibri" w:cs="Times New Roman"/>
          <w:color w:val="000000"/>
          <w:lang w:eastAsia="en-IE"/>
        </w:rPr>
        <w:t>Fine sand with Angulus fabula community complex</w:t>
      </w:r>
    </w:p>
    <w:p w:rsidR="000D1B71" w:rsidRPr="00294339" w:rsidRDefault="000D1B71" w:rsidP="000D1B71">
      <w:pPr>
        <w:pStyle w:val="ListParagraph"/>
        <w:numPr>
          <w:ilvl w:val="1"/>
          <w:numId w:val="3"/>
        </w:numPr>
      </w:pPr>
      <w:r w:rsidRPr="003D6651">
        <w:rPr>
          <w:rFonts w:ascii="Calibri" w:eastAsia="Times New Roman" w:hAnsi="Calibri" w:cs="Times New Roman"/>
          <w:color w:val="000000"/>
          <w:lang w:eastAsia="en-IE"/>
        </w:rPr>
        <w:t>Laminaria-dominated community complex</w:t>
      </w:r>
    </w:p>
    <w:p w:rsidR="000D1B71" w:rsidRDefault="000D1B71" w:rsidP="000D1B71">
      <w:pPr>
        <w:pStyle w:val="ListParagraph"/>
        <w:spacing w:after="120" w:line="240" w:lineRule="auto"/>
        <w:ind w:left="1440"/>
        <w:rPr>
          <w:rFonts w:ascii="Calibri" w:eastAsia="Times New Roman" w:hAnsi="Calibri" w:cs="Times New Roman"/>
          <w:color w:val="000000"/>
          <w:lang w:eastAsia="en-IE"/>
        </w:rPr>
      </w:pPr>
    </w:p>
    <w:p w:rsidR="004E1C03" w:rsidRDefault="004E1C03" w:rsidP="004E1C03">
      <w:pPr>
        <w:spacing w:after="120" w:line="240" w:lineRule="auto"/>
        <w:ind w:left="720"/>
        <w:rPr>
          <w:rFonts w:ascii="Calibri" w:eastAsia="Times New Roman" w:hAnsi="Calibri" w:cs="Times New Roman"/>
          <w:color w:val="000000"/>
          <w:lang w:eastAsia="en-IE"/>
        </w:rPr>
      </w:pPr>
      <w:r>
        <w:rPr>
          <w:rFonts w:ascii="Calibri" w:eastAsia="Times New Roman" w:hAnsi="Calibri" w:cs="Times New Roman"/>
          <w:color w:val="000000"/>
          <w:lang w:eastAsia="en-IE"/>
        </w:rPr>
        <w:t xml:space="preserve">The fishery </w:t>
      </w:r>
      <w:r w:rsidR="000D1B71">
        <w:rPr>
          <w:rFonts w:ascii="Calibri" w:eastAsia="Times New Roman" w:hAnsi="Calibri" w:cs="Times New Roman"/>
          <w:color w:val="000000"/>
          <w:lang w:eastAsia="en-IE"/>
        </w:rPr>
        <w:t>will overlap with more than 15% of sand habitats</w:t>
      </w:r>
      <w:r w:rsidR="001401D8">
        <w:rPr>
          <w:rFonts w:ascii="Calibri" w:eastAsia="Times New Roman" w:hAnsi="Calibri" w:cs="Times New Roman"/>
          <w:color w:val="000000"/>
          <w:lang w:eastAsia="en-IE"/>
        </w:rPr>
        <w:t xml:space="preserve"> (2a,b above)</w:t>
      </w:r>
      <w:r w:rsidR="000D1B71">
        <w:rPr>
          <w:rFonts w:ascii="Calibri" w:eastAsia="Times New Roman" w:hAnsi="Calibri" w:cs="Times New Roman"/>
          <w:color w:val="000000"/>
          <w:lang w:eastAsia="en-IE"/>
        </w:rPr>
        <w:t>. To maintain these habitats in favourable conservation status the fishing season will be limited so that the significant habitat disturbance caused by scallop dredging is n</w:t>
      </w:r>
      <w:r w:rsidR="004F49A6">
        <w:rPr>
          <w:rFonts w:ascii="Calibri" w:eastAsia="Times New Roman" w:hAnsi="Calibri" w:cs="Times New Roman"/>
          <w:color w:val="000000"/>
          <w:lang w:eastAsia="en-IE"/>
        </w:rPr>
        <w:t>ot persistent.</w:t>
      </w:r>
    </w:p>
    <w:p w:rsidR="00281D55" w:rsidRDefault="00281D55" w:rsidP="004E1C03">
      <w:pPr>
        <w:spacing w:after="120" w:line="240" w:lineRule="auto"/>
        <w:ind w:left="720"/>
        <w:rPr>
          <w:rFonts w:ascii="Calibri" w:eastAsia="Times New Roman" w:hAnsi="Calibri" w:cs="Times New Roman"/>
          <w:color w:val="000000"/>
          <w:lang w:eastAsia="en-IE"/>
        </w:rPr>
      </w:pPr>
    </w:p>
    <w:p w:rsidR="004F49A6" w:rsidRPr="004F49A6" w:rsidRDefault="004F49A6" w:rsidP="004F49A6">
      <w:pPr>
        <w:pStyle w:val="ListParagraph"/>
        <w:numPr>
          <w:ilvl w:val="0"/>
          <w:numId w:val="8"/>
        </w:numPr>
        <w:spacing w:after="120" w:line="240" w:lineRule="auto"/>
        <w:rPr>
          <w:rFonts w:ascii="Calibri" w:eastAsia="Times New Roman" w:hAnsi="Calibri" w:cs="Times New Roman"/>
          <w:color w:val="000000"/>
          <w:lang w:eastAsia="en-IE"/>
        </w:rPr>
      </w:pPr>
      <w:r w:rsidRPr="004F49A6">
        <w:rPr>
          <w:rFonts w:ascii="Calibri" w:eastAsia="Times New Roman" w:hAnsi="Calibri" w:cs="Times New Roman"/>
          <w:color w:val="000000"/>
          <w:lang w:eastAsia="en-IE"/>
        </w:rPr>
        <w:t>The fishing season will extend from oct 1</w:t>
      </w:r>
      <w:r w:rsidRPr="004F49A6">
        <w:rPr>
          <w:rFonts w:ascii="Calibri" w:eastAsia="Times New Roman" w:hAnsi="Calibri" w:cs="Times New Roman"/>
          <w:color w:val="000000"/>
          <w:vertAlign w:val="superscript"/>
          <w:lang w:eastAsia="en-IE"/>
        </w:rPr>
        <w:t>st</w:t>
      </w:r>
      <w:r w:rsidRPr="004F49A6">
        <w:rPr>
          <w:rFonts w:ascii="Calibri" w:eastAsia="Times New Roman" w:hAnsi="Calibri" w:cs="Times New Roman"/>
          <w:color w:val="000000"/>
          <w:lang w:eastAsia="en-IE"/>
        </w:rPr>
        <w:t xml:space="preserve"> to Feb 28</w:t>
      </w:r>
      <w:r w:rsidRPr="004F49A6">
        <w:rPr>
          <w:rFonts w:ascii="Calibri" w:eastAsia="Times New Roman" w:hAnsi="Calibri" w:cs="Times New Roman"/>
          <w:color w:val="000000"/>
          <w:vertAlign w:val="superscript"/>
          <w:lang w:eastAsia="en-IE"/>
        </w:rPr>
        <w:t>th</w:t>
      </w:r>
      <w:r w:rsidRPr="004F49A6">
        <w:rPr>
          <w:rFonts w:ascii="Calibri" w:eastAsia="Times New Roman" w:hAnsi="Calibri" w:cs="Times New Roman"/>
          <w:color w:val="000000"/>
          <w:lang w:eastAsia="en-IE"/>
        </w:rPr>
        <w:t xml:space="preserve">. </w:t>
      </w:r>
    </w:p>
    <w:p w:rsidR="000D1B71" w:rsidRDefault="000D1B71" w:rsidP="004E1C03">
      <w:pPr>
        <w:spacing w:after="120" w:line="240" w:lineRule="auto"/>
        <w:ind w:left="720"/>
        <w:rPr>
          <w:rFonts w:ascii="Calibri" w:eastAsia="Times New Roman" w:hAnsi="Calibri" w:cs="Times New Roman"/>
          <w:color w:val="000000"/>
          <w:lang w:eastAsia="en-IE"/>
        </w:rPr>
      </w:pPr>
      <w:r>
        <w:rPr>
          <w:rFonts w:ascii="Calibri" w:eastAsia="Times New Roman" w:hAnsi="Calibri" w:cs="Times New Roman"/>
          <w:color w:val="000000"/>
          <w:lang w:eastAsia="en-IE"/>
        </w:rPr>
        <w:t xml:space="preserve">In the case of Laminaria reef a small </w:t>
      </w:r>
      <w:r w:rsidR="00BA43E0">
        <w:rPr>
          <w:rFonts w:ascii="Calibri" w:eastAsia="Times New Roman" w:hAnsi="Calibri" w:cs="Times New Roman"/>
          <w:color w:val="000000"/>
          <w:lang w:eastAsia="en-IE"/>
        </w:rPr>
        <w:t xml:space="preserve">area occurs </w:t>
      </w:r>
      <w:r>
        <w:rPr>
          <w:rFonts w:ascii="Calibri" w:eastAsia="Times New Roman" w:hAnsi="Calibri" w:cs="Times New Roman"/>
          <w:color w:val="000000"/>
          <w:lang w:eastAsia="en-IE"/>
        </w:rPr>
        <w:t>within the fishing area but is unlikely to be affected by s</w:t>
      </w:r>
      <w:r w:rsidR="00BA43E0">
        <w:rPr>
          <w:rFonts w:ascii="Calibri" w:eastAsia="Times New Roman" w:hAnsi="Calibri" w:cs="Times New Roman"/>
          <w:color w:val="000000"/>
          <w:lang w:eastAsia="en-IE"/>
        </w:rPr>
        <w:t>callop dredging as it is not feasible to fish the reef with scallop dredges.</w:t>
      </w:r>
    </w:p>
    <w:p w:rsidR="00CF7C71" w:rsidRPr="00CF7C71" w:rsidRDefault="00CF7C71" w:rsidP="00CF7C71">
      <w:pPr>
        <w:pStyle w:val="ListParagraph"/>
        <w:numPr>
          <w:ilvl w:val="0"/>
          <w:numId w:val="3"/>
        </w:numPr>
        <w:spacing w:after="120" w:line="240" w:lineRule="auto"/>
        <w:rPr>
          <w:rFonts w:ascii="Calibri" w:eastAsia="Times New Roman" w:hAnsi="Calibri" w:cs="Times New Roman"/>
          <w:color w:val="000000"/>
          <w:lang w:eastAsia="en-IE"/>
        </w:rPr>
      </w:pPr>
      <w:r>
        <w:rPr>
          <w:rFonts w:ascii="Calibri" w:eastAsia="Times New Roman" w:hAnsi="Calibri" w:cs="Times New Roman"/>
          <w:color w:val="000000"/>
          <w:lang w:eastAsia="en-IE"/>
        </w:rPr>
        <w:lastRenderedPageBreak/>
        <w:t xml:space="preserve">To monitoring and enforce the closed area and the fishing season all vessels participating in the scallop fishery will be required to carry an approved GPS tracking device. These will be supplied and fitted by the Marine Institute and subsequently monitored by the SFPA for control and enforcement purposes and by the Marine Institute to map the distribution of fishing effort in the Bay. </w:t>
      </w:r>
    </w:p>
    <w:p w:rsidR="007B11E7" w:rsidRDefault="007B11E7" w:rsidP="007B11E7">
      <w:pPr>
        <w:pStyle w:val="Caption"/>
      </w:pPr>
    </w:p>
    <w:p w:rsidR="0067335B" w:rsidRDefault="007B11E7" w:rsidP="007B11E7">
      <w:pPr>
        <w:pStyle w:val="Caption"/>
      </w:pPr>
      <w:bookmarkStart w:id="1" w:name="_Ref421116899"/>
      <w:r>
        <w:t xml:space="preserve">Table </w:t>
      </w:r>
      <w:r w:rsidR="00653AFD">
        <w:fldChar w:fldCharType="begin"/>
      </w:r>
      <w:r w:rsidR="005F1ABA">
        <w:instrText xml:space="preserve"> SEQ Table \* ARABIC </w:instrText>
      </w:r>
      <w:r w:rsidR="00653AFD">
        <w:fldChar w:fldCharType="separate"/>
      </w:r>
      <w:r w:rsidR="004E1C03">
        <w:rPr>
          <w:noProof/>
        </w:rPr>
        <w:t>1</w:t>
      </w:r>
      <w:r w:rsidR="00653AFD">
        <w:fldChar w:fldCharType="end"/>
      </w:r>
      <w:bookmarkEnd w:id="1"/>
      <w:r>
        <w:t>. Conservation targets and options for management of towed bottom gears on different habitats in Mullet/Blacksod SAC</w:t>
      </w:r>
    </w:p>
    <w:tbl>
      <w:tblPr>
        <w:tblW w:w="9940" w:type="dxa"/>
        <w:tblInd w:w="91" w:type="dxa"/>
        <w:tblLook w:val="04A0"/>
      </w:tblPr>
      <w:tblGrid>
        <w:gridCol w:w="1717"/>
        <w:gridCol w:w="720"/>
        <w:gridCol w:w="2258"/>
        <w:gridCol w:w="891"/>
        <w:gridCol w:w="1377"/>
        <w:gridCol w:w="1418"/>
        <w:gridCol w:w="1559"/>
      </w:tblGrid>
      <w:tr w:rsidR="00FB0F7C" w:rsidRPr="00FB0F7C" w:rsidTr="00BA43E0">
        <w:trPr>
          <w:trHeight w:val="240"/>
        </w:trPr>
        <w:tc>
          <w:tcPr>
            <w:tcW w:w="1717" w:type="dxa"/>
            <w:tcBorders>
              <w:top w:val="single" w:sz="4" w:space="0" w:color="auto"/>
              <w:left w:val="single" w:sz="4" w:space="0" w:color="auto"/>
              <w:bottom w:val="single" w:sz="4" w:space="0" w:color="auto"/>
              <w:right w:val="single" w:sz="4" w:space="0" w:color="auto"/>
            </w:tcBorders>
            <w:shd w:val="clear" w:color="000000" w:fill="EEECE1"/>
            <w:vAlign w:val="bottom"/>
            <w:hideMark/>
          </w:tcPr>
          <w:p w:rsidR="00FB0F7C" w:rsidRPr="00FB0F7C" w:rsidRDefault="00FB0F7C" w:rsidP="00FB0F7C">
            <w:pPr>
              <w:spacing w:after="0" w:line="240" w:lineRule="auto"/>
              <w:rPr>
                <w:rFonts w:ascii="Calibri" w:eastAsia="Times New Roman" w:hAnsi="Calibri" w:cs="Times New Roman"/>
                <w:b/>
                <w:bCs/>
                <w:color w:val="000000"/>
                <w:sz w:val="16"/>
                <w:szCs w:val="16"/>
                <w:lang w:eastAsia="en-IE"/>
              </w:rPr>
            </w:pPr>
            <w:r w:rsidRPr="00FB0F7C">
              <w:rPr>
                <w:rFonts w:ascii="Calibri" w:eastAsia="Times New Roman" w:hAnsi="Calibri" w:cs="Times New Roman"/>
                <w:b/>
                <w:bCs/>
                <w:color w:val="000000"/>
                <w:sz w:val="16"/>
                <w:szCs w:val="16"/>
                <w:lang w:eastAsia="en-IE"/>
              </w:rPr>
              <w:t> </w:t>
            </w:r>
          </w:p>
        </w:tc>
        <w:tc>
          <w:tcPr>
            <w:tcW w:w="2978" w:type="dxa"/>
            <w:gridSpan w:val="2"/>
            <w:tcBorders>
              <w:top w:val="single" w:sz="4" w:space="0" w:color="auto"/>
              <w:left w:val="nil"/>
              <w:bottom w:val="single" w:sz="4" w:space="0" w:color="auto"/>
              <w:right w:val="single" w:sz="4" w:space="0" w:color="000000"/>
            </w:tcBorders>
            <w:shd w:val="clear" w:color="000000" w:fill="EEECE1"/>
            <w:vAlign w:val="bottom"/>
            <w:hideMark/>
          </w:tcPr>
          <w:p w:rsidR="00FB0F7C" w:rsidRPr="00FB0F7C" w:rsidRDefault="00FB0F7C" w:rsidP="00FB0F7C">
            <w:pPr>
              <w:spacing w:after="0" w:line="240" w:lineRule="auto"/>
              <w:rPr>
                <w:rFonts w:ascii="Calibri" w:eastAsia="Times New Roman" w:hAnsi="Calibri" w:cs="Times New Roman"/>
                <w:b/>
                <w:bCs/>
                <w:color w:val="000000"/>
                <w:sz w:val="16"/>
                <w:szCs w:val="16"/>
                <w:lang w:eastAsia="en-IE"/>
              </w:rPr>
            </w:pPr>
            <w:r w:rsidRPr="00FB0F7C">
              <w:rPr>
                <w:rFonts w:ascii="Calibri" w:eastAsia="Times New Roman" w:hAnsi="Calibri" w:cs="Times New Roman"/>
                <w:b/>
                <w:bCs/>
                <w:color w:val="000000"/>
                <w:sz w:val="16"/>
                <w:szCs w:val="16"/>
                <w:lang w:eastAsia="en-IE"/>
              </w:rPr>
              <w:t>Conservation objectives</w:t>
            </w:r>
          </w:p>
        </w:tc>
        <w:tc>
          <w:tcPr>
            <w:tcW w:w="891" w:type="dxa"/>
            <w:tcBorders>
              <w:top w:val="single" w:sz="4" w:space="0" w:color="auto"/>
              <w:left w:val="nil"/>
              <w:bottom w:val="single" w:sz="4" w:space="0" w:color="auto"/>
              <w:right w:val="single" w:sz="4" w:space="0" w:color="auto"/>
            </w:tcBorders>
            <w:shd w:val="clear" w:color="000000" w:fill="EEECE1"/>
            <w:vAlign w:val="bottom"/>
            <w:hideMark/>
          </w:tcPr>
          <w:p w:rsidR="00FB0F7C" w:rsidRPr="00FB0F7C" w:rsidRDefault="00FB0F7C" w:rsidP="00FB0F7C">
            <w:pPr>
              <w:spacing w:after="0" w:line="240" w:lineRule="auto"/>
              <w:rPr>
                <w:rFonts w:ascii="Calibri" w:eastAsia="Times New Roman" w:hAnsi="Calibri" w:cs="Times New Roman"/>
                <w:b/>
                <w:bCs/>
                <w:color w:val="000000"/>
                <w:sz w:val="16"/>
                <w:szCs w:val="16"/>
                <w:lang w:eastAsia="en-IE"/>
              </w:rPr>
            </w:pPr>
            <w:r w:rsidRPr="00FB0F7C">
              <w:rPr>
                <w:rFonts w:ascii="Calibri" w:eastAsia="Times New Roman" w:hAnsi="Calibri" w:cs="Times New Roman"/>
                <w:b/>
                <w:bCs/>
                <w:color w:val="000000"/>
                <w:sz w:val="16"/>
                <w:szCs w:val="16"/>
                <w:lang w:eastAsia="en-IE"/>
              </w:rPr>
              <w:t> </w:t>
            </w:r>
          </w:p>
        </w:tc>
        <w:tc>
          <w:tcPr>
            <w:tcW w:w="2795" w:type="dxa"/>
            <w:gridSpan w:val="2"/>
            <w:tcBorders>
              <w:top w:val="single" w:sz="4" w:space="0" w:color="auto"/>
              <w:left w:val="nil"/>
              <w:bottom w:val="single" w:sz="4" w:space="0" w:color="auto"/>
              <w:right w:val="single" w:sz="4" w:space="0" w:color="000000"/>
            </w:tcBorders>
            <w:shd w:val="clear" w:color="000000" w:fill="EEECE1"/>
            <w:vAlign w:val="bottom"/>
            <w:hideMark/>
          </w:tcPr>
          <w:p w:rsidR="00FB0F7C" w:rsidRPr="00FB0F7C" w:rsidRDefault="00FB0F7C" w:rsidP="00FB0F7C">
            <w:pPr>
              <w:spacing w:after="0" w:line="240" w:lineRule="auto"/>
              <w:rPr>
                <w:rFonts w:ascii="Calibri" w:eastAsia="Times New Roman" w:hAnsi="Calibri" w:cs="Times New Roman"/>
                <w:b/>
                <w:bCs/>
                <w:color w:val="000000"/>
                <w:sz w:val="16"/>
                <w:szCs w:val="16"/>
                <w:lang w:eastAsia="en-IE"/>
              </w:rPr>
            </w:pPr>
            <w:r w:rsidRPr="00FB0F7C">
              <w:rPr>
                <w:rFonts w:ascii="Calibri" w:eastAsia="Times New Roman" w:hAnsi="Calibri" w:cs="Times New Roman"/>
                <w:b/>
                <w:bCs/>
                <w:color w:val="000000"/>
                <w:sz w:val="16"/>
                <w:szCs w:val="16"/>
                <w:lang w:eastAsia="en-IE"/>
              </w:rPr>
              <w:t>Management options</w:t>
            </w:r>
          </w:p>
        </w:tc>
        <w:tc>
          <w:tcPr>
            <w:tcW w:w="1559" w:type="dxa"/>
            <w:tcBorders>
              <w:top w:val="single" w:sz="4" w:space="0" w:color="auto"/>
              <w:left w:val="nil"/>
              <w:bottom w:val="single" w:sz="4" w:space="0" w:color="auto"/>
              <w:right w:val="single" w:sz="4" w:space="0" w:color="auto"/>
            </w:tcBorders>
            <w:shd w:val="clear" w:color="000000" w:fill="EEECE1"/>
            <w:noWrap/>
            <w:vAlign w:val="bottom"/>
            <w:hideMark/>
          </w:tcPr>
          <w:p w:rsidR="00FB0F7C" w:rsidRPr="00FB0F7C" w:rsidRDefault="00FB0F7C" w:rsidP="00FB0F7C">
            <w:pPr>
              <w:spacing w:after="0" w:line="240" w:lineRule="auto"/>
              <w:rPr>
                <w:rFonts w:ascii="Calibri" w:eastAsia="Times New Roman" w:hAnsi="Calibri" w:cs="Times New Roman"/>
                <w:b/>
                <w:bCs/>
                <w:color w:val="000000"/>
                <w:sz w:val="16"/>
                <w:szCs w:val="16"/>
                <w:lang w:eastAsia="en-IE"/>
              </w:rPr>
            </w:pPr>
            <w:r w:rsidRPr="00FB0F7C">
              <w:rPr>
                <w:rFonts w:ascii="Calibri" w:eastAsia="Times New Roman" w:hAnsi="Calibri" w:cs="Times New Roman"/>
                <w:b/>
                <w:bCs/>
                <w:color w:val="000000"/>
                <w:sz w:val="16"/>
                <w:szCs w:val="16"/>
                <w:lang w:eastAsia="en-IE"/>
              </w:rPr>
              <w:t>Management measure</w:t>
            </w:r>
          </w:p>
        </w:tc>
      </w:tr>
      <w:tr w:rsidR="00FB0F7C" w:rsidRPr="00FB0F7C" w:rsidTr="00BA43E0">
        <w:trPr>
          <w:trHeight w:val="450"/>
        </w:trPr>
        <w:tc>
          <w:tcPr>
            <w:tcW w:w="1717" w:type="dxa"/>
            <w:tcBorders>
              <w:top w:val="nil"/>
              <w:left w:val="single" w:sz="4" w:space="0" w:color="auto"/>
              <w:bottom w:val="single" w:sz="4" w:space="0" w:color="auto"/>
              <w:right w:val="single" w:sz="4" w:space="0" w:color="auto"/>
            </w:tcBorders>
            <w:shd w:val="clear" w:color="000000" w:fill="EEECE1"/>
            <w:vAlign w:val="bottom"/>
            <w:hideMark/>
          </w:tcPr>
          <w:p w:rsidR="00FB0F7C" w:rsidRPr="00FB0F7C" w:rsidRDefault="00FB0F7C" w:rsidP="00FB0F7C">
            <w:pPr>
              <w:spacing w:after="0" w:line="240" w:lineRule="auto"/>
              <w:rPr>
                <w:rFonts w:ascii="Calibri" w:eastAsia="Times New Roman" w:hAnsi="Calibri" w:cs="Times New Roman"/>
                <w:b/>
                <w:bCs/>
                <w:color w:val="000000"/>
                <w:sz w:val="16"/>
                <w:szCs w:val="16"/>
                <w:lang w:eastAsia="en-IE"/>
              </w:rPr>
            </w:pPr>
            <w:r w:rsidRPr="00FB0F7C">
              <w:rPr>
                <w:rFonts w:ascii="Calibri" w:eastAsia="Times New Roman" w:hAnsi="Calibri" w:cs="Times New Roman"/>
                <w:b/>
                <w:bCs/>
                <w:color w:val="000000"/>
                <w:sz w:val="16"/>
                <w:szCs w:val="16"/>
                <w:lang w:eastAsia="en-IE"/>
              </w:rPr>
              <w:t>Habitat</w:t>
            </w:r>
          </w:p>
        </w:tc>
        <w:tc>
          <w:tcPr>
            <w:tcW w:w="720" w:type="dxa"/>
            <w:tcBorders>
              <w:top w:val="nil"/>
              <w:left w:val="nil"/>
              <w:bottom w:val="single" w:sz="4" w:space="0" w:color="auto"/>
              <w:right w:val="single" w:sz="4" w:space="0" w:color="auto"/>
            </w:tcBorders>
            <w:shd w:val="clear" w:color="000000" w:fill="EEECE1"/>
            <w:vAlign w:val="bottom"/>
            <w:hideMark/>
          </w:tcPr>
          <w:p w:rsidR="00FB0F7C" w:rsidRPr="00FB0F7C" w:rsidRDefault="00FB0F7C" w:rsidP="00FB0F7C">
            <w:pPr>
              <w:spacing w:after="0" w:line="240" w:lineRule="auto"/>
              <w:rPr>
                <w:rFonts w:ascii="Calibri" w:eastAsia="Times New Roman" w:hAnsi="Calibri" w:cs="Times New Roman"/>
                <w:b/>
                <w:bCs/>
                <w:color w:val="000000"/>
                <w:sz w:val="16"/>
                <w:szCs w:val="16"/>
                <w:lang w:eastAsia="en-IE"/>
              </w:rPr>
            </w:pPr>
            <w:r w:rsidRPr="00FB0F7C">
              <w:rPr>
                <w:rFonts w:ascii="Calibri" w:eastAsia="Times New Roman" w:hAnsi="Calibri" w:cs="Times New Roman"/>
                <w:b/>
                <w:bCs/>
                <w:color w:val="000000"/>
                <w:sz w:val="16"/>
                <w:szCs w:val="16"/>
                <w:lang w:eastAsia="en-IE"/>
              </w:rPr>
              <w:t>Area (ha)</w:t>
            </w:r>
          </w:p>
        </w:tc>
        <w:tc>
          <w:tcPr>
            <w:tcW w:w="2258" w:type="dxa"/>
            <w:tcBorders>
              <w:top w:val="nil"/>
              <w:left w:val="nil"/>
              <w:bottom w:val="single" w:sz="4" w:space="0" w:color="auto"/>
              <w:right w:val="single" w:sz="4" w:space="0" w:color="auto"/>
            </w:tcBorders>
            <w:shd w:val="clear" w:color="000000" w:fill="EEECE1"/>
            <w:vAlign w:val="bottom"/>
            <w:hideMark/>
          </w:tcPr>
          <w:p w:rsidR="00FB0F7C" w:rsidRPr="00FB0F7C" w:rsidRDefault="00FB0F7C" w:rsidP="00FB0F7C">
            <w:pPr>
              <w:spacing w:after="0" w:line="240" w:lineRule="auto"/>
              <w:rPr>
                <w:rFonts w:ascii="Calibri" w:eastAsia="Times New Roman" w:hAnsi="Calibri" w:cs="Times New Roman"/>
                <w:b/>
                <w:bCs/>
                <w:color w:val="000000"/>
                <w:sz w:val="16"/>
                <w:szCs w:val="16"/>
                <w:lang w:eastAsia="en-IE"/>
              </w:rPr>
            </w:pPr>
            <w:r w:rsidRPr="00FB0F7C">
              <w:rPr>
                <w:rFonts w:ascii="Calibri" w:eastAsia="Times New Roman" w:hAnsi="Calibri" w:cs="Times New Roman"/>
                <w:b/>
                <w:bCs/>
                <w:color w:val="000000"/>
                <w:sz w:val="16"/>
                <w:szCs w:val="16"/>
                <w:lang w:eastAsia="en-IE"/>
              </w:rPr>
              <w:t>Target</w:t>
            </w:r>
          </w:p>
        </w:tc>
        <w:tc>
          <w:tcPr>
            <w:tcW w:w="891" w:type="dxa"/>
            <w:tcBorders>
              <w:top w:val="nil"/>
              <w:left w:val="nil"/>
              <w:bottom w:val="single" w:sz="4" w:space="0" w:color="auto"/>
              <w:right w:val="single" w:sz="4" w:space="0" w:color="auto"/>
            </w:tcBorders>
            <w:shd w:val="clear" w:color="000000" w:fill="EEECE1"/>
            <w:vAlign w:val="bottom"/>
            <w:hideMark/>
          </w:tcPr>
          <w:p w:rsidR="00FB0F7C" w:rsidRPr="00FB0F7C" w:rsidRDefault="00FB0F7C" w:rsidP="00FB0F7C">
            <w:pPr>
              <w:spacing w:after="0" w:line="240" w:lineRule="auto"/>
              <w:rPr>
                <w:rFonts w:ascii="Calibri" w:eastAsia="Times New Roman" w:hAnsi="Calibri" w:cs="Times New Roman"/>
                <w:b/>
                <w:bCs/>
                <w:color w:val="000000"/>
                <w:sz w:val="16"/>
                <w:szCs w:val="16"/>
                <w:lang w:eastAsia="en-IE"/>
              </w:rPr>
            </w:pPr>
            <w:r w:rsidRPr="00FB0F7C">
              <w:rPr>
                <w:rFonts w:ascii="Calibri" w:eastAsia="Times New Roman" w:hAnsi="Calibri" w:cs="Times New Roman"/>
                <w:b/>
                <w:bCs/>
                <w:color w:val="000000"/>
                <w:sz w:val="16"/>
                <w:szCs w:val="16"/>
                <w:lang w:eastAsia="en-IE"/>
              </w:rPr>
              <w:t>Habitat sensitivity</w:t>
            </w:r>
          </w:p>
        </w:tc>
        <w:tc>
          <w:tcPr>
            <w:tcW w:w="1377" w:type="dxa"/>
            <w:tcBorders>
              <w:top w:val="nil"/>
              <w:left w:val="nil"/>
              <w:bottom w:val="single" w:sz="4" w:space="0" w:color="auto"/>
              <w:right w:val="single" w:sz="4" w:space="0" w:color="auto"/>
            </w:tcBorders>
            <w:shd w:val="clear" w:color="000000" w:fill="EEECE1"/>
            <w:vAlign w:val="bottom"/>
            <w:hideMark/>
          </w:tcPr>
          <w:p w:rsidR="00FB0F7C" w:rsidRPr="00FB0F7C" w:rsidRDefault="00FB0F7C" w:rsidP="00FB0F7C">
            <w:pPr>
              <w:spacing w:after="0" w:line="240" w:lineRule="auto"/>
              <w:jc w:val="right"/>
              <w:rPr>
                <w:rFonts w:ascii="Calibri" w:eastAsia="Times New Roman" w:hAnsi="Calibri" w:cs="Times New Roman"/>
                <w:b/>
                <w:bCs/>
                <w:color w:val="000000"/>
                <w:sz w:val="16"/>
                <w:szCs w:val="16"/>
                <w:lang w:eastAsia="en-IE"/>
              </w:rPr>
            </w:pPr>
            <w:r w:rsidRPr="00FB0F7C">
              <w:rPr>
                <w:rFonts w:ascii="Calibri" w:eastAsia="Times New Roman" w:hAnsi="Calibri" w:cs="Times New Roman"/>
                <w:b/>
                <w:bCs/>
                <w:color w:val="000000"/>
                <w:sz w:val="16"/>
                <w:szCs w:val="16"/>
                <w:lang w:eastAsia="en-IE"/>
              </w:rPr>
              <w:t>1</w:t>
            </w:r>
          </w:p>
        </w:tc>
        <w:tc>
          <w:tcPr>
            <w:tcW w:w="1418" w:type="dxa"/>
            <w:tcBorders>
              <w:top w:val="nil"/>
              <w:left w:val="nil"/>
              <w:bottom w:val="single" w:sz="4" w:space="0" w:color="auto"/>
              <w:right w:val="single" w:sz="4" w:space="0" w:color="auto"/>
            </w:tcBorders>
            <w:shd w:val="clear" w:color="000000" w:fill="EEECE1"/>
            <w:vAlign w:val="bottom"/>
            <w:hideMark/>
          </w:tcPr>
          <w:p w:rsidR="00FB0F7C" w:rsidRPr="00FB0F7C" w:rsidRDefault="00FB0F7C" w:rsidP="00FB0F7C">
            <w:pPr>
              <w:spacing w:after="0" w:line="240" w:lineRule="auto"/>
              <w:jc w:val="right"/>
              <w:rPr>
                <w:rFonts w:ascii="Calibri" w:eastAsia="Times New Roman" w:hAnsi="Calibri" w:cs="Times New Roman"/>
                <w:b/>
                <w:bCs/>
                <w:color w:val="000000"/>
                <w:sz w:val="16"/>
                <w:szCs w:val="16"/>
                <w:lang w:eastAsia="en-IE"/>
              </w:rPr>
            </w:pPr>
            <w:r w:rsidRPr="00FB0F7C">
              <w:rPr>
                <w:rFonts w:ascii="Calibri" w:eastAsia="Times New Roman" w:hAnsi="Calibri" w:cs="Times New Roman"/>
                <w:b/>
                <w:bCs/>
                <w:color w:val="000000"/>
                <w:sz w:val="16"/>
                <w:szCs w:val="16"/>
                <w:lang w:eastAsia="en-IE"/>
              </w:rPr>
              <w:t>2</w:t>
            </w:r>
          </w:p>
        </w:tc>
        <w:tc>
          <w:tcPr>
            <w:tcW w:w="1559" w:type="dxa"/>
            <w:tcBorders>
              <w:top w:val="nil"/>
              <w:left w:val="nil"/>
              <w:bottom w:val="single" w:sz="4" w:space="0" w:color="auto"/>
              <w:right w:val="single" w:sz="4" w:space="0" w:color="auto"/>
            </w:tcBorders>
            <w:shd w:val="clear" w:color="000000" w:fill="EEECE1"/>
            <w:vAlign w:val="bottom"/>
            <w:hideMark/>
          </w:tcPr>
          <w:p w:rsidR="00FB0F7C" w:rsidRPr="00FB0F7C" w:rsidRDefault="00FB0F7C" w:rsidP="00FB0F7C">
            <w:pPr>
              <w:spacing w:after="0" w:line="240" w:lineRule="auto"/>
              <w:rPr>
                <w:rFonts w:ascii="Calibri" w:eastAsia="Times New Roman" w:hAnsi="Calibri" w:cs="Times New Roman"/>
                <w:b/>
                <w:bCs/>
                <w:color w:val="000000"/>
                <w:sz w:val="16"/>
                <w:szCs w:val="16"/>
                <w:lang w:eastAsia="en-IE"/>
              </w:rPr>
            </w:pPr>
            <w:r w:rsidRPr="00FB0F7C">
              <w:rPr>
                <w:rFonts w:ascii="Calibri" w:eastAsia="Times New Roman" w:hAnsi="Calibri" w:cs="Times New Roman"/>
                <w:b/>
                <w:bCs/>
                <w:color w:val="000000"/>
                <w:sz w:val="16"/>
                <w:szCs w:val="16"/>
                <w:lang w:eastAsia="en-IE"/>
              </w:rPr>
              <w:t> </w:t>
            </w:r>
          </w:p>
        </w:tc>
      </w:tr>
      <w:tr w:rsidR="00FB0F7C" w:rsidRPr="00FB0F7C" w:rsidTr="00BA43E0">
        <w:trPr>
          <w:trHeight w:val="450"/>
        </w:trPr>
        <w:tc>
          <w:tcPr>
            <w:tcW w:w="1717" w:type="dxa"/>
            <w:tcBorders>
              <w:top w:val="nil"/>
              <w:left w:val="single" w:sz="4" w:space="0" w:color="auto"/>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Zostera-dominated community</w:t>
            </w:r>
          </w:p>
        </w:tc>
        <w:tc>
          <w:tcPr>
            <w:tcW w:w="720"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jc w:val="right"/>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170</w:t>
            </w:r>
          </w:p>
        </w:tc>
        <w:tc>
          <w:tcPr>
            <w:tcW w:w="2258"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No disturbance</w:t>
            </w:r>
          </w:p>
        </w:tc>
        <w:tc>
          <w:tcPr>
            <w:tcW w:w="891"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High</w:t>
            </w:r>
          </w:p>
        </w:tc>
        <w:tc>
          <w:tcPr>
            <w:tcW w:w="1377"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No bottom towed gears</w:t>
            </w:r>
          </w:p>
        </w:tc>
        <w:tc>
          <w:tcPr>
            <w:tcW w:w="1418"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 </w:t>
            </w:r>
          </w:p>
        </w:tc>
        <w:tc>
          <w:tcPr>
            <w:tcW w:w="1559"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Closed areas</w:t>
            </w:r>
          </w:p>
        </w:tc>
      </w:tr>
      <w:tr w:rsidR="00FB0F7C" w:rsidRPr="00FB0F7C" w:rsidTr="00BA43E0">
        <w:trPr>
          <w:trHeight w:val="450"/>
        </w:trPr>
        <w:tc>
          <w:tcPr>
            <w:tcW w:w="1717" w:type="dxa"/>
            <w:tcBorders>
              <w:top w:val="nil"/>
              <w:left w:val="single" w:sz="4" w:space="0" w:color="auto"/>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Maërl-dominated community</w:t>
            </w:r>
          </w:p>
        </w:tc>
        <w:tc>
          <w:tcPr>
            <w:tcW w:w="720"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jc w:val="right"/>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14</w:t>
            </w:r>
          </w:p>
        </w:tc>
        <w:tc>
          <w:tcPr>
            <w:tcW w:w="2258"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No disturbance</w:t>
            </w:r>
          </w:p>
        </w:tc>
        <w:tc>
          <w:tcPr>
            <w:tcW w:w="891"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High</w:t>
            </w:r>
          </w:p>
        </w:tc>
        <w:tc>
          <w:tcPr>
            <w:tcW w:w="1377"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No bottom towed gears</w:t>
            </w:r>
          </w:p>
        </w:tc>
        <w:tc>
          <w:tcPr>
            <w:tcW w:w="1418"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 </w:t>
            </w:r>
          </w:p>
        </w:tc>
        <w:tc>
          <w:tcPr>
            <w:tcW w:w="1559"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Closed areas</w:t>
            </w:r>
          </w:p>
        </w:tc>
      </w:tr>
      <w:tr w:rsidR="00FB0F7C" w:rsidRPr="00FB0F7C" w:rsidTr="00BA43E0">
        <w:trPr>
          <w:trHeight w:val="675"/>
        </w:trPr>
        <w:tc>
          <w:tcPr>
            <w:tcW w:w="1717" w:type="dxa"/>
            <w:tcBorders>
              <w:top w:val="nil"/>
              <w:left w:val="single" w:sz="4" w:space="0" w:color="auto"/>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Serpula vermicularis-dominated community complex</w:t>
            </w:r>
          </w:p>
        </w:tc>
        <w:tc>
          <w:tcPr>
            <w:tcW w:w="720"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jc w:val="right"/>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855</w:t>
            </w:r>
          </w:p>
        </w:tc>
        <w:tc>
          <w:tcPr>
            <w:tcW w:w="2258"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No disturbance</w:t>
            </w:r>
          </w:p>
        </w:tc>
        <w:tc>
          <w:tcPr>
            <w:tcW w:w="891"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High</w:t>
            </w:r>
          </w:p>
        </w:tc>
        <w:tc>
          <w:tcPr>
            <w:tcW w:w="1377"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No bottom towed gears</w:t>
            </w:r>
          </w:p>
        </w:tc>
        <w:tc>
          <w:tcPr>
            <w:tcW w:w="1418"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 </w:t>
            </w:r>
          </w:p>
        </w:tc>
        <w:tc>
          <w:tcPr>
            <w:tcW w:w="1559"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Closed areas</w:t>
            </w:r>
          </w:p>
        </w:tc>
      </w:tr>
      <w:tr w:rsidR="00FB0F7C" w:rsidRPr="00FB0F7C" w:rsidTr="00BA43E0">
        <w:trPr>
          <w:trHeight w:val="780"/>
        </w:trPr>
        <w:tc>
          <w:tcPr>
            <w:tcW w:w="1717" w:type="dxa"/>
            <w:tcBorders>
              <w:top w:val="nil"/>
              <w:left w:val="single" w:sz="4" w:space="0" w:color="auto"/>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Fine sand with Angulus fabula community complex</w:t>
            </w:r>
          </w:p>
        </w:tc>
        <w:tc>
          <w:tcPr>
            <w:tcW w:w="720"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jc w:val="right"/>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1182</w:t>
            </w:r>
          </w:p>
        </w:tc>
        <w:tc>
          <w:tcPr>
            <w:tcW w:w="2258"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persistent disturbance &lt;15% of area; non-persistent disturbance case by case assessment</w:t>
            </w:r>
          </w:p>
        </w:tc>
        <w:tc>
          <w:tcPr>
            <w:tcW w:w="891"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Low</w:t>
            </w:r>
          </w:p>
        </w:tc>
        <w:tc>
          <w:tcPr>
            <w:tcW w:w="1377"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Limit overlap of habitat and dredging &lt;15%</w:t>
            </w:r>
          </w:p>
        </w:tc>
        <w:tc>
          <w:tcPr>
            <w:tcW w:w="1418"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Limit disturbance in balance with habitat resilience</w:t>
            </w:r>
          </w:p>
        </w:tc>
        <w:tc>
          <w:tcPr>
            <w:tcW w:w="1559" w:type="dxa"/>
            <w:tcBorders>
              <w:top w:val="nil"/>
              <w:left w:val="nil"/>
              <w:bottom w:val="single" w:sz="4" w:space="0" w:color="auto"/>
              <w:right w:val="single" w:sz="4" w:space="0" w:color="auto"/>
            </w:tcBorders>
            <w:shd w:val="clear" w:color="auto" w:fill="auto"/>
            <w:vAlign w:val="bottom"/>
            <w:hideMark/>
          </w:tcPr>
          <w:p w:rsidR="00FB0F7C" w:rsidRPr="00FB0F7C" w:rsidRDefault="007268C6"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Seasonal or less frequent fisheries; effort limits</w:t>
            </w:r>
            <w:r>
              <w:rPr>
                <w:rFonts w:ascii="Calibri" w:eastAsia="Times New Roman" w:hAnsi="Calibri" w:cs="Times New Roman"/>
                <w:color w:val="000000"/>
                <w:sz w:val="16"/>
                <w:szCs w:val="16"/>
                <w:lang w:eastAsia="en-IE"/>
              </w:rPr>
              <w:t xml:space="preserve"> on &gt;15% of habitat</w:t>
            </w:r>
          </w:p>
        </w:tc>
      </w:tr>
      <w:tr w:rsidR="00FB0F7C" w:rsidRPr="00FB0F7C" w:rsidTr="00BA43E0">
        <w:trPr>
          <w:trHeight w:val="825"/>
        </w:trPr>
        <w:tc>
          <w:tcPr>
            <w:tcW w:w="1717" w:type="dxa"/>
            <w:tcBorders>
              <w:top w:val="nil"/>
              <w:left w:val="single" w:sz="4" w:space="0" w:color="auto"/>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Sand with Gastrosaccus spinifer community complex</w:t>
            </w:r>
          </w:p>
        </w:tc>
        <w:tc>
          <w:tcPr>
            <w:tcW w:w="720"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jc w:val="right"/>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1994</w:t>
            </w:r>
          </w:p>
        </w:tc>
        <w:tc>
          <w:tcPr>
            <w:tcW w:w="2258"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persistent disturbance &lt;15% of area; non-persistent disturbance case by case assessment</w:t>
            </w:r>
          </w:p>
        </w:tc>
        <w:tc>
          <w:tcPr>
            <w:tcW w:w="891"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Low</w:t>
            </w:r>
          </w:p>
        </w:tc>
        <w:tc>
          <w:tcPr>
            <w:tcW w:w="1377"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Limit overlap of habitat and dredging &lt;15%</w:t>
            </w:r>
          </w:p>
        </w:tc>
        <w:tc>
          <w:tcPr>
            <w:tcW w:w="1418"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Limit disturbance in balance with habitat resilience</w:t>
            </w:r>
          </w:p>
        </w:tc>
        <w:tc>
          <w:tcPr>
            <w:tcW w:w="1559"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Seasonal or less frequent fisheries; effort limits</w:t>
            </w:r>
            <w:r w:rsidR="007268C6">
              <w:rPr>
                <w:rFonts w:ascii="Calibri" w:eastAsia="Times New Roman" w:hAnsi="Calibri" w:cs="Times New Roman"/>
                <w:color w:val="000000"/>
                <w:sz w:val="16"/>
                <w:szCs w:val="16"/>
                <w:lang w:eastAsia="en-IE"/>
              </w:rPr>
              <w:t xml:space="preserve"> on &gt;15% of habitat</w:t>
            </w:r>
          </w:p>
        </w:tc>
      </w:tr>
      <w:tr w:rsidR="00FB0F7C" w:rsidRPr="00FB0F7C" w:rsidTr="00BA43E0">
        <w:trPr>
          <w:trHeight w:val="870"/>
        </w:trPr>
        <w:tc>
          <w:tcPr>
            <w:tcW w:w="1717" w:type="dxa"/>
            <w:tcBorders>
              <w:top w:val="nil"/>
              <w:left w:val="single" w:sz="4" w:space="0" w:color="auto"/>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Sand with Angulus tenuis and Pygospio elegans community complex</w:t>
            </w:r>
          </w:p>
        </w:tc>
        <w:tc>
          <w:tcPr>
            <w:tcW w:w="720"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jc w:val="right"/>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6289</w:t>
            </w:r>
          </w:p>
        </w:tc>
        <w:tc>
          <w:tcPr>
            <w:tcW w:w="2258"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persistent disturbance &lt;15% of area; non-persistent disturbance case by case assessment</w:t>
            </w:r>
          </w:p>
        </w:tc>
        <w:tc>
          <w:tcPr>
            <w:tcW w:w="891"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Low</w:t>
            </w:r>
          </w:p>
        </w:tc>
        <w:tc>
          <w:tcPr>
            <w:tcW w:w="1377"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Scallop fishing does not occur on this habitat</w:t>
            </w:r>
          </w:p>
        </w:tc>
        <w:tc>
          <w:tcPr>
            <w:tcW w:w="1418"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 </w:t>
            </w:r>
          </w:p>
        </w:tc>
        <w:tc>
          <w:tcPr>
            <w:tcW w:w="1559"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 </w:t>
            </w:r>
            <w:r w:rsidR="007268C6">
              <w:rPr>
                <w:rFonts w:ascii="Calibri" w:eastAsia="Times New Roman" w:hAnsi="Calibri" w:cs="Times New Roman"/>
                <w:color w:val="000000"/>
                <w:sz w:val="16"/>
                <w:szCs w:val="16"/>
                <w:lang w:eastAsia="en-IE"/>
              </w:rPr>
              <w:t xml:space="preserve">No action </w:t>
            </w:r>
          </w:p>
        </w:tc>
      </w:tr>
      <w:tr w:rsidR="00FB0F7C" w:rsidRPr="00FB0F7C" w:rsidTr="00BA43E0">
        <w:trPr>
          <w:trHeight w:val="825"/>
        </w:trPr>
        <w:tc>
          <w:tcPr>
            <w:tcW w:w="1717" w:type="dxa"/>
            <w:tcBorders>
              <w:top w:val="nil"/>
              <w:left w:val="single" w:sz="4" w:space="0" w:color="auto"/>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Intertidal reef community complex</w:t>
            </w:r>
          </w:p>
        </w:tc>
        <w:tc>
          <w:tcPr>
            <w:tcW w:w="720"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jc w:val="right"/>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254</w:t>
            </w:r>
          </w:p>
        </w:tc>
        <w:tc>
          <w:tcPr>
            <w:tcW w:w="2258"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persistent disturbance &lt;15% of area; non-persistent disturbance case by case assessment</w:t>
            </w:r>
          </w:p>
        </w:tc>
        <w:tc>
          <w:tcPr>
            <w:tcW w:w="891"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Moderate</w:t>
            </w:r>
          </w:p>
        </w:tc>
        <w:tc>
          <w:tcPr>
            <w:tcW w:w="1377"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Scallop fishing does not occur on this habitat</w:t>
            </w:r>
          </w:p>
        </w:tc>
        <w:tc>
          <w:tcPr>
            <w:tcW w:w="1418"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 </w:t>
            </w:r>
          </w:p>
        </w:tc>
        <w:tc>
          <w:tcPr>
            <w:tcW w:w="1559"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 </w:t>
            </w:r>
            <w:r w:rsidR="007268C6">
              <w:rPr>
                <w:rFonts w:ascii="Calibri" w:eastAsia="Times New Roman" w:hAnsi="Calibri" w:cs="Times New Roman"/>
                <w:color w:val="000000"/>
                <w:sz w:val="16"/>
                <w:szCs w:val="16"/>
                <w:lang w:eastAsia="en-IE"/>
              </w:rPr>
              <w:t>No action</w:t>
            </w:r>
          </w:p>
        </w:tc>
      </w:tr>
      <w:tr w:rsidR="00FB0F7C" w:rsidRPr="00FB0F7C" w:rsidTr="00BA43E0">
        <w:trPr>
          <w:trHeight w:val="870"/>
        </w:trPr>
        <w:tc>
          <w:tcPr>
            <w:tcW w:w="1717" w:type="dxa"/>
            <w:tcBorders>
              <w:top w:val="nil"/>
              <w:left w:val="single" w:sz="4" w:space="0" w:color="auto"/>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Sheltered subtidal reef community complex</w:t>
            </w:r>
          </w:p>
        </w:tc>
        <w:tc>
          <w:tcPr>
            <w:tcW w:w="720"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jc w:val="right"/>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81</w:t>
            </w:r>
          </w:p>
        </w:tc>
        <w:tc>
          <w:tcPr>
            <w:tcW w:w="2258"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persistent disturbance &lt;15% of area; non-persistent disturbance case by case assessment</w:t>
            </w:r>
          </w:p>
        </w:tc>
        <w:tc>
          <w:tcPr>
            <w:tcW w:w="891"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Moderate</w:t>
            </w:r>
          </w:p>
        </w:tc>
        <w:tc>
          <w:tcPr>
            <w:tcW w:w="1377"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Limit overlap of habitat and dredging &lt;15%</w:t>
            </w:r>
          </w:p>
        </w:tc>
        <w:tc>
          <w:tcPr>
            <w:tcW w:w="1418"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Limit disturbance in balance with habitat resilience</w:t>
            </w:r>
          </w:p>
        </w:tc>
        <w:tc>
          <w:tcPr>
            <w:tcW w:w="1559" w:type="dxa"/>
            <w:tcBorders>
              <w:top w:val="nil"/>
              <w:left w:val="nil"/>
              <w:bottom w:val="single" w:sz="4" w:space="0" w:color="auto"/>
              <w:right w:val="single" w:sz="4" w:space="0" w:color="auto"/>
            </w:tcBorders>
            <w:shd w:val="clear" w:color="auto" w:fill="auto"/>
            <w:vAlign w:val="bottom"/>
            <w:hideMark/>
          </w:tcPr>
          <w:p w:rsidR="00FB0F7C" w:rsidRPr="00FB0F7C" w:rsidRDefault="000D1B71" w:rsidP="00FB0F7C">
            <w:pPr>
              <w:spacing w:after="0" w:line="240" w:lineRule="auto"/>
              <w:rPr>
                <w:rFonts w:ascii="Calibri" w:eastAsia="Times New Roman" w:hAnsi="Calibri" w:cs="Times New Roman"/>
                <w:color w:val="000000"/>
                <w:sz w:val="16"/>
                <w:szCs w:val="16"/>
                <w:lang w:eastAsia="en-IE"/>
              </w:rPr>
            </w:pPr>
            <w:r>
              <w:rPr>
                <w:rFonts w:ascii="Calibri" w:eastAsia="Times New Roman" w:hAnsi="Calibri" w:cs="Times New Roman"/>
                <w:color w:val="000000"/>
                <w:sz w:val="16"/>
                <w:szCs w:val="16"/>
                <w:lang w:eastAsia="en-IE"/>
              </w:rPr>
              <w:t>Closed areas</w:t>
            </w:r>
          </w:p>
        </w:tc>
      </w:tr>
      <w:tr w:rsidR="00FB0F7C" w:rsidRPr="00FB0F7C" w:rsidTr="00BA43E0">
        <w:trPr>
          <w:trHeight w:val="780"/>
        </w:trPr>
        <w:tc>
          <w:tcPr>
            <w:tcW w:w="1717" w:type="dxa"/>
            <w:tcBorders>
              <w:top w:val="nil"/>
              <w:left w:val="single" w:sz="4" w:space="0" w:color="auto"/>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Laminaria-dominated community complex</w:t>
            </w:r>
          </w:p>
        </w:tc>
        <w:tc>
          <w:tcPr>
            <w:tcW w:w="720"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jc w:val="right"/>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251</w:t>
            </w:r>
          </w:p>
        </w:tc>
        <w:tc>
          <w:tcPr>
            <w:tcW w:w="2258"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persistent disturbance &lt;15% of area; non-persistent disturbance case by case assessment</w:t>
            </w:r>
          </w:p>
        </w:tc>
        <w:tc>
          <w:tcPr>
            <w:tcW w:w="891"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High</w:t>
            </w:r>
          </w:p>
        </w:tc>
        <w:tc>
          <w:tcPr>
            <w:tcW w:w="1377"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Scallop fishing does not occur on this habitat</w:t>
            </w:r>
          </w:p>
        </w:tc>
        <w:tc>
          <w:tcPr>
            <w:tcW w:w="1418"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 </w:t>
            </w:r>
          </w:p>
        </w:tc>
        <w:tc>
          <w:tcPr>
            <w:tcW w:w="1559" w:type="dxa"/>
            <w:tcBorders>
              <w:top w:val="nil"/>
              <w:left w:val="nil"/>
              <w:bottom w:val="single" w:sz="4" w:space="0" w:color="auto"/>
              <w:right w:val="single" w:sz="4" w:space="0" w:color="auto"/>
            </w:tcBorders>
            <w:shd w:val="clear" w:color="auto" w:fill="auto"/>
            <w:vAlign w:val="bottom"/>
            <w:hideMark/>
          </w:tcPr>
          <w:p w:rsidR="00FB0F7C" w:rsidRPr="00FB0F7C" w:rsidRDefault="00BA43E0" w:rsidP="00FB0F7C">
            <w:pPr>
              <w:spacing w:after="0" w:line="240" w:lineRule="auto"/>
              <w:rPr>
                <w:rFonts w:ascii="Calibri" w:eastAsia="Times New Roman" w:hAnsi="Calibri" w:cs="Times New Roman"/>
                <w:color w:val="000000"/>
                <w:sz w:val="16"/>
                <w:szCs w:val="16"/>
                <w:lang w:eastAsia="en-IE"/>
              </w:rPr>
            </w:pPr>
            <w:r>
              <w:rPr>
                <w:rFonts w:ascii="Calibri" w:eastAsia="Times New Roman" w:hAnsi="Calibri" w:cs="Times New Roman"/>
                <w:color w:val="000000"/>
                <w:sz w:val="16"/>
                <w:szCs w:val="16"/>
                <w:lang w:eastAsia="en-IE"/>
              </w:rPr>
              <w:t>Fishing is not likely to occur on Laminaria reef. Over 85% of Laminaria reef is excluded from the fishing area</w:t>
            </w:r>
          </w:p>
        </w:tc>
      </w:tr>
      <w:tr w:rsidR="00FB0F7C" w:rsidRPr="00FB0F7C" w:rsidTr="00BA43E0">
        <w:trPr>
          <w:trHeight w:val="720"/>
        </w:trPr>
        <w:tc>
          <w:tcPr>
            <w:tcW w:w="1717" w:type="dxa"/>
            <w:tcBorders>
              <w:top w:val="nil"/>
              <w:left w:val="single" w:sz="4" w:space="0" w:color="auto"/>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Shingle</w:t>
            </w:r>
          </w:p>
        </w:tc>
        <w:tc>
          <w:tcPr>
            <w:tcW w:w="720"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jc w:val="right"/>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38</w:t>
            </w:r>
          </w:p>
        </w:tc>
        <w:tc>
          <w:tcPr>
            <w:tcW w:w="2258"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persistent disturbance &lt;15% of area; non-persistent disturbance case by case assessment</w:t>
            </w:r>
          </w:p>
        </w:tc>
        <w:tc>
          <w:tcPr>
            <w:tcW w:w="891"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Low</w:t>
            </w:r>
          </w:p>
        </w:tc>
        <w:tc>
          <w:tcPr>
            <w:tcW w:w="1377"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Scallop fishing does not occur on this habitat</w:t>
            </w:r>
          </w:p>
        </w:tc>
        <w:tc>
          <w:tcPr>
            <w:tcW w:w="1418"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 </w:t>
            </w:r>
          </w:p>
        </w:tc>
        <w:tc>
          <w:tcPr>
            <w:tcW w:w="1559" w:type="dxa"/>
            <w:tcBorders>
              <w:top w:val="nil"/>
              <w:left w:val="nil"/>
              <w:bottom w:val="single" w:sz="4" w:space="0" w:color="auto"/>
              <w:right w:val="single" w:sz="4" w:space="0" w:color="auto"/>
            </w:tcBorders>
            <w:shd w:val="clear" w:color="auto" w:fill="auto"/>
            <w:vAlign w:val="bottom"/>
            <w:hideMark/>
          </w:tcPr>
          <w:p w:rsidR="00FB0F7C" w:rsidRPr="00FB0F7C" w:rsidRDefault="00FB0F7C" w:rsidP="00FB0F7C">
            <w:pPr>
              <w:spacing w:after="0" w:line="240" w:lineRule="auto"/>
              <w:rPr>
                <w:rFonts w:ascii="Calibri" w:eastAsia="Times New Roman" w:hAnsi="Calibri" w:cs="Times New Roman"/>
                <w:color w:val="000000"/>
                <w:sz w:val="16"/>
                <w:szCs w:val="16"/>
                <w:lang w:eastAsia="en-IE"/>
              </w:rPr>
            </w:pPr>
            <w:r w:rsidRPr="00FB0F7C">
              <w:rPr>
                <w:rFonts w:ascii="Calibri" w:eastAsia="Times New Roman" w:hAnsi="Calibri" w:cs="Times New Roman"/>
                <w:color w:val="000000"/>
                <w:sz w:val="16"/>
                <w:szCs w:val="16"/>
                <w:lang w:eastAsia="en-IE"/>
              </w:rPr>
              <w:t> </w:t>
            </w:r>
            <w:r w:rsidR="007268C6">
              <w:rPr>
                <w:rFonts w:ascii="Calibri" w:eastAsia="Times New Roman" w:hAnsi="Calibri" w:cs="Times New Roman"/>
                <w:color w:val="000000"/>
                <w:sz w:val="16"/>
                <w:szCs w:val="16"/>
                <w:lang w:eastAsia="en-IE"/>
              </w:rPr>
              <w:t>No action</w:t>
            </w:r>
          </w:p>
        </w:tc>
      </w:tr>
    </w:tbl>
    <w:p w:rsidR="007B11E7" w:rsidRDefault="007B11E7" w:rsidP="0067335B"/>
    <w:p w:rsidR="00180E0E" w:rsidRDefault="004F49A6" w:rsidP="0067335B">
      <w:r>
        <w:rPr>
          <w:noProof/>
          <w:lang w:eastAsia="en-IE"/>
        </w:rPr>
        <w:lastRenderedPageBreak/>
        <w:drawing>
          <wp:inline distT="0" distB="0" distL="0" distR="0">
            <wp:extent cx="4433570" cy="6273165"/>
            <wp:effectExtent l="19050" t="0" r="5080" b="0"/>
            <wp:docPr id="4" name="Picture 1" descr="C:\Users\otully\Desktop\Blacksod_Scallop\Blacksod_Scallop_Fishing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ully\Desktop\Blacksod_Scallop\Blacksod_Scallop_Fishing area.jpg"/>
                    <pic:cNvPicPr>
                      <a:picLocks noChangeAspect="1" noChangeArrowheads="1"/>
                    </pic:cNvPicPr>
                  </pic:nvPicPr>
                  <pic:blipFill>
                    <a:blip r:embed="rId10" cstate="print"/>
                    <a:srcRect/>
                    <a:stretch>
                      <a:fillRect/>
                    </a:stretch>
                  </pic:blipFill>
                  <pic:spPr bwMode="auto">
                    <a:xfrm>
                      <a:off x="0" y="0"/>
                      <a:ext cx="4433570" cy="6273165"/>
                    </a:xfrm>
                    <a:prstGeom prst="rect">
                      <a:avLst/>
                    </a:prstGeom>
                    <a:noFill/>
                    <a:ln w="9525">
                      <a:noFill/>
                      <a:miter lim="800000"/>
                      <a:headEnd/>
                      <a:tailEnd/>
                    </a:ln>
                  </pic:spPr>
                </pic:pic>
              </a:graphicData>
            </a:graphic>
          </wp:inline>
        </w:drawing>
      </w:r>
    </w:p>
    <w:p w:rsidR="00180E0E" w:rsidRDefault="00180E0E" w:rsidP="00180E0E">
      <w:pPr>
        <w:pStyle w:val="Caption"/>
      </w:pPr>
      <w:bookmarkStart w:id="2" w:name="_Ref421203309"/>
      <w:r>
        <w:t xml:space="preserve">Figure </w:t>
      </w:r>
      <w:r w:rsidR="00653AFD">
        <w:fldChar w:fldCharType="begin"/>
      </w:r>
      <w:r w:rsidR="005F1ABA">
        <w:instrText xml:space="preserve"> SEQ Figure \* ARABIC </w:instrText>
      </w:r>
      <w:r w:rsidR="00653AFD">
        <w:fldChar w:fldCharType="separate"/>
      </w:r>
      <w:r w:rsidR="00CB62FC">
        <w:rPr>
          <w:noProof/>
        </w:rPr>
        <w:t>2</w:t>
      </w:r>
      <w:r w:rsidR="00653AFD">
        <w:fldChar w:fldCharType="end"/>
      </w:r>
      <w:bookmarkEnd w:id="2"/>
      <w:r>
        <w:t xml:space="preserve">. Proposed scallop gear fishing areas showing exclusion from sensitive habitats Maerl, seagrass and Serpula. Aquaculture licences or applications as of March 2015 are shown. Habitats where </w:t>
      </w:r>
      <w:r w:rsidR="00EF7C58">
        <w:t>scallop gear is</w:t>
      </w:r>
      <w:r>
        <w:t xml:space="preserve"> allowed will have limited fishing seasons.</w:t>
      </w:r>
      <w:r w:rsidR="004E1C03">
        <w:t xml:space="preserve"> Scallop fishing is unrestricted south of the SAC.</w:t>
      </w:r>
    </w:p>
    <w:p w:rsidR="004F49A6" w:rsidRDefault="004F49A6" w:rsidP="004E1C03">
      <w:pPr>
        <w:pStyle w:val="Caption"/>
      </w:pPr>
      <w:bookmarkStart w:id="3" w:name="_Ref421201239"/>
    </w:p>
    <w:p w:rsidR="00BA43E0" w:rsidRDefault="004E1C03" w:rsidP="003476B0">
      <w:pPr>
        <w:pStyle w:val="Caption"/>
      </w:pPr>
      <w:r>
        <w:t xml:space="preserve">Table </w:t>
      </w:r>
      <w:r w:rsidR="00653AFD">
        <w:fldChar w:fldCharType="begin"/>
      </w:r>
      <w:r>
        <w:instrText xml:space="preserve"> SEQ Table \* ARABIC </w:instrText>
      </w:r>
      <w:r w:rsidR="00653AFD">
        <w:fldChar w:fldCharType="separate"/>
      </w:r>
      <w:r w:rsidR="00CB62FC">
        <w:rPr>
          <w:noProof/>
        </w:rPr>
        <w:t>2</w:t>
      </w:r>
      <w:r w:rsidR="00653AFD">
        <w:fldChar w:fldCharType="end"/>
      </w:r>
      <w:bookmarkEnd w:id="3"/>
      <w:r>
        <w:t>. Co</w:t>
      </w:r>
      <w:r w:rsidR="00CB62FC">
        <w:t>-o</w:t>
      </w:r>
      <w:r>
        <w:t>rdinates defining the outer boundaries for scallop fishing in Mullet/Blacksod Bay SAC</w:t>
      </w:r>
      <w:r w:rsidR="004F49A6">
        <w:t>. Co-ordinate system: WGS84, Decimal degrees.</w:t>
      </w:r>
    </w:p>
    <w:tbl>
      <w:tblPr>
        <w:tblW w:w="2700" w:type="dxa"/>
        <w:tblInd w:w="91" w:type="dxa"/>
        <w:tblLook w:val="04A0"/>
      </w:tblPr>
      <w:tblGrid>
        <w:gridCol w:w="1440"/>
        <w:gridCol w:w="1260"/>
      </w:tblGrid>
      <w:tr w:rsidR="004F49A6" w:rsidRPr="004F49A6" w:rsidTr="004F49A6">
        <w:trPr>
          <w:trHeight w:val="300"/>
        </w:trPr>
        <w:tc>
          <w:tcPr>
            <w:tcW w:w="144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4F49A6" w:rsidRPr="004F49A6" w:rsidRDefault="004F49A6" w:rsidP="004F49A6">
            <w:pPr>
              <w:spacing w:after="0" w:line="240" w:lineRule="auto"/>
              <w:rPr>
                <w:rFonts w:ascii="Calibri" w:eastAsia="Times New Roman" w:hAnsi="Calibri" w:cs="Times New Roman"/>
                <w:color w:val="000000"/>
                <w:sz w:val="20"/>
                <w:szCs w:val="20"/>
                <w:lang w:eastAsia="en-IE"/>
              </w:rPr>
            </w:pPr>
            <w:bookmarkStart w:id="4" w:name="RANGE!A1:B46"/>
            <w:r w:rsidRPr="004F49A6">
              <w:rPr>
                <w:rFonts w:ascii="Calibri" w:eastAsia="Times New Roman" w:hAnsi="Calibri" w:cs="Times New Roman"/>
                <w:color w:val="000000"/>
                <w:sz w:val="20"/>
                <w:szCs w:val="20"/>
                <w:lang w:eastAsia="en-IE"/>
              </w:rPr>
              <w:t>Longitude</w:t>
            </w:r>
            <w:bookmarkEnd w:id="4"/>
          </w:p>
        </w:tc>
        <w:tc>
          <w:tcPr>
            <w:tcW w:w="1260" w:type="dxa"/>
            <w:tcBorders>
              <w:top w:val="single" w:sz="4" w:space="0" w:color="auto"/>
              <w:left w:val="nil"/>
              <w:bottom w:val="single" w:sz="4" w:space="0" w:color="auto"/>
              <w:right w:val="single" w:sz="4" w:space="0" w:color="auto"/>
            </w:tcBorders>
            <w:shd w:val="clear" w:color="000000" w:fill="C5D9F1"/>
            <w:noWrap/>
            <w:vAlign w:val="bottom"/>
            <w:hideMark/>
          </w:tcPr>
          <w:p w:rsidR="004F49A6" w:rsidRPr="004F49A6" w:rsidRDefault="004F49A6" w:rsidP="004F49A6">
            <w:pPr>
              <w:spacing w:after="0" w:line="240" w:lineRule="auto"/>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Latitude</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-10.0053</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54.1855</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281D55">
              <w:rPr>
                <w:rFonts w:ascii="Calibri" w:eastAsia="Times New Roman" w:hAnsi="Calibri" w:cs="Times New Roman"/>
                <w:color w:val="000000"/>
                <w:sz w:val="20"/>
                <w:szCs w:val="20"/>
                <w:lang w:eastAsia="en-IE"/>
              </w:rPr>
              <w:t>-</w:t>
            </w:r>
            <w:r w:rsidR="00281D55" w:rsidRPr="00281D55">
              <w:rPr>
                <w:color w:val="000000"/>
                <w:sz w:val="20"/>
                <w:szCs w:val="20"/>
              </w:rPr>
              <w:t xml:space="preserve"> 9.9886</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54.1833</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-9.9886</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54.1801</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-9.9846</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54.1766</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lastRenderedPageBreak/>
              <w:t>-9.9793</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54.1759</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-9.9690</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54.1747</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-9.9533</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54.1634</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-9.9568</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54.1573</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-9.9611</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54.1563</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-9.9625</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54.1533</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-9.9647</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54.1429</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-9.9499</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54.1360</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-9.9424</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54.1267</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-9.9434</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54.1143</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-9.9527</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54.1106</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-9.9545</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54.1210</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-9.9765</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54.1220</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-9.9747</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54.1096</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-9.9882</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54.1081</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-9.9939</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54.1037</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-9.9932</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54.1004</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-9.9807</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54.0928</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-9.9779</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54.0639</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-10.0734</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54.0842</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-10.0579</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54.1006</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-10.0669</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54.1060</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-10.0632</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54.1098</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-10.0555</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54.1083</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-10.0542</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54.1116</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-10.0672</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54.1155</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-10.0623</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54.1234</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-10.0621</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54.1346</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-10.0591</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54.1427</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-10.0468</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54.1435</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-10.0511</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54.1370</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-10.0565</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54.1332</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-10.0545</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54.1283</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-10.0593</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54.1215</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-10.0494</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54.1181</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-10.0313</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54.1307</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-10.0189</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54.1343</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-10.0103</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54.1487</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-10.0103</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54.1623</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-10.0235</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54.1696</w:t>
            </w:r>
          </w:p>
        </w:tc>
      </w:tr>
      <w:tr w:rsidR="004F49A6" w:rsidRPr="004F49A6" w:rsidTr="004F49A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-10.0053</w:t>
            </w:r>
          </w:p>
        </w:tc>
        <w:tc>
          <w:tcPr>
            <w:tcW w:w="1260" w:type="dxa"/>
            <w:tcBorders>
              <w:top w:val="nil"/>
              <w:left w:val="nil"/>
              <w:bottom w:val="single" w:sz="4" w:space="0" w:color="auto"/>
              <w:right w:val="single" w:sz="4" w:space="0" w:color="auto"/>
            </w:tcBorders>
            <w:shd w:val="clear" w:color="auto" w:fill="auto"/>
            <w:noWrap/>
            <w:vAlign w:val="bottom"/>
            <w:hideMark/>
          </w:tcPr>
          <w:p w:rsidR="004F49A6" w:rsidRPr="004F49A6" w:rsidRDefault="004F49A6" w:rsidP="004F49A6">
            <w:pPr>
              <w:spacing w:after="0" w:line="240" w:lineRule="auto"/>
              <w:jc w:val="right"/>
              <w:rPr>
                <w:rFonts w:ascii="Calibri" w:eastAsia="Times New Roman" w:hAnsi="Calibri" w:cs="Times New Roman"/>
                <w:color w:val="000000"/>
                <w:sz w:val="20"/>
                <w:szCs w:val="20"/>
                <w:lang w:eastAsia="en-IE"/>
              </w:rPr>
            </w:pPr>
            <w:r w:rsidRPr="004F49A6">
              <w:rPr>
                <w:rFonts w:ascii="Calibri" w:eastAsia="Times New Roman" w:hAnsi="Calibri" w:cs="Times New Roman"/>
                <w:color w:val="000000"/>
                <w:sz w:val="20"/>
                <w:szCs w:val="20"/>
                <w:lang w:eastAsia="en-IE"/>
              </w:rPr>
              <w:t>54.1855</w:t>
            </w:r>
          </w:p>
        </w:tc>
      </w:tr>
    </w:tbl>
    <w:p w:rsidR="004F49A6" w:rsidRPr="004F49A6" w:rsidRDefault="004F49A6" w:rsidP="004F49A6">
      <w:pPr>
        <w:sectPr w:rsidR="004F49A6" w:rsidRPr="004F49A6" w:rsidSect="00281F2C">
          <w:footerReference w:type="default" r:id="rId11"/>
          <w:pgSz w:w="11906" w:h="16838"/>
          <w:pgMar w:top="1440" w:right="1440" w:bottom="1440" w:left="1440" w:header="708" w:footer="708" w:gutter="0"/>
          <w:cols w:space="708"/>
          <w:docGrid w:linePitch="360"/>
        </w:sectPr>
      </w:pPr>
    </w:p>
    <w:p w:rsidR="004E1C03" w:rsidRDefault="00BA43E0" w:rsidP="00337EFC">
      <w:pPr>
        <w:pStyle w:val="Heading1"/>
      </w:pPr>
      <w:r>
        <w:lastRenderedPageBreak/>
        <w:t>Annex I</w:t>
      </w:r>
    </w:p>
    <w:p w:rsidR="00BA43E0" w:rsidRDefault="00BA43E0" w:rsidP="00337EFC">
      <w:pPr>
        <w:pStyle w:val="Heading2"/>
      </w:pPr>
      <w:r>
        <w:t>Fisheries Natura Risk assessment summary for Mullet/Blacksod SAC (from Marine Institute 2015)</w:t>
      </w:r>
    </w:p>
    <w:p w:rsidR="00337EFC" w:rsidRDefault="00337EFC" w:rsidP="00337EFC"/>
    <w:p w:rsidR="00337EFC" w:rsidRDefault="00337EFC" w:rsidP="00337EFC">
      <w:r>
        <w:rPr>
          <w:noProof/>
          <w:lang w:eastAsia="en-IE"/>
        </w:rPr>
        <w:drawing>
          <wp:inline distT="0" distB="0" distL="0" distR="0">
            <wp:extent cx="3296211" cy="4663888"/>
            <wp:effectExtent l="19050" t="0" r="0" b="0"/>
            <wp:docPr id="5" name="Picture 4" descr="C:\Users\otully\Desktop\Blacksod_Scallop\Scallop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tully\Desktop\Blacksod_Scallop\Scallop_2013.jpg"/>
                    <pic:cNvPicPr>
                      <a:picLocks noChangeAspect="1" noChangeArrowheads="1"/>
                    </pic:cNvPicPr>
                  </pic:nvPicPr>
                  <pic:blipFill>
                    <a:blip r:embed="rId12" cstate="print"/>
                    <a:srcRect/>
                    <a:stretch>
                      <a:fillRect/>
                    </a:stretch>
                  </pic:blipFill>
                  <pic:spPr bwMode="auto">
                    <a:xfrm>
                      <a:off x="0" y="0"/>
                      <a:ext cx="3298188" cy="4666686"/>
                    </a:xfrm>
                    <a:prstGeom prst="rect">
                      <a:avLst/>
                    </a:prstGeom>
                    <a:noFill/>
                    <a:ln w="9525">
                      <a:noFill/>
                      <a:miter lim="800000"/>
                      <a:headEnd/>
                      <a:tailEnd/>
                    </a:ln>
                  </pic:spPr>
                </pic:pic>
              </a:graphicData>
            </a:graphic>
          </wp:inline>
        </w:drawing>
      </w:r>
    </w:p>
    <w:p w:rsidR="00337EFC" w:rsidRDefault="00337EFC" w:rsidP="00337EFC">
      <w:pPr>
        <w:pStyle w:val="Caption"/>
      </w:pPr>
      <w:r>
        <w:t xml:space="preserve">Figure </w:t>
      </w:r>
      <w:r w:rsidR="00653AFD">
        <w:fldChar w:fldCharType="begin"/>
      </w:r>
      <w:r>
        <w:instrText xml:space="preserve"> SEQ Figure \* ARABIC </w:instrText>
      </w:r>
      <w:r w:rsidR="00653AFD">
        <w:fldChar w:fldCharType="separate"/>
      </w:r>
      <w:r w:rsidR="00CB62FC">
        <w:rPr>
          <w:noProof/>
        </w:rPr>
        <w:t>3</w:t>
      </w:r>
      <w:r w:rsidR="00653AFD">
        <w:fldChar w:fldCharType="end"/>
      </w:r>
      <w:r>
        <w:t>. Distribution of scallop and oyster fishing used in the Marine Institute (2015) Natura-Fisheries risk assessment</w:t>
      </w:r>
    </w:p>
    <w:p w:rsidR="00337EFC" w:rsidRDefault="00337EFC" w:rsidP="00337EFC"/>
    <w:p w:rsidR="00337EFC" w:rsidRDefault="00337EFC" w:rsidP="00337EFC"/>
    <w:p w:rsidR="00337EFC" w:rsidRDefault="00337EFC" w:rsidP="00337EFC"/>
    <w:p w:rsidR="00337EFC" w:rsidRDefault="00337EFC" w:rsidP="00337EFC"/>
    <w:p w:rsidR="00337EFC" w:rsidRDefault="00337EFC" w:rsidP="00337EFC"/>
    <w:p w:rsidR="00337EFC" w:rsidRPr="00337EFC" w:rsidRDefault="00337EFC" w:rsidP="00337EFC"/>
    <w:p w:rsidR="00BA43E0" w:rsidRDefault="00BA43E0" w:rsidP="004E1C03">
      <w:r>
        <w:lastRenderedPageBreak/>
        <w:t xml:space="preserve">Risk values 16 and over (red) require a mitigation plan. </w:t>
      </w:r>
      <w:r w:rsidR="00337EFC">
        <w:t>Values 9-12 may need to be considered for mitigation although in the case of shrimp pots on Serpulid reef this is unlikely</w:t>
      </w:r>
    </w:p>
    <w:tbl>
      <w:tblPr>
        <w:tblW w:w="8980" w:type="dxa"/>
        <w:tblInd w:w="103" w:type="dxa"/>
        <w:tblLook w:val="04A0"/>
      </w:tblPr>
      <w:tblGrid>
        <w:gridCol w:w="2800"/>
        <w:gridCol w:w="2520"/>
        <w:gridCol w:w="1340"/>
        <w:gridCol w:w="580"/>
        <w:gridCol w:w="580"/>
        <w:gridCol w:w="580"/>
        <w:gridCol w:w="580"/>
      </w:tblGrid>
      <w:tr w:rsidR="00BA43E0" w:rsidRPr="00BA43E0" w:rsidTr="00337EFC">
        <w:trPr>
          <w:trHeight w:val="1505"/>
        </w:trPr>
        <w:tc>
          <w:tcPr>
            <w:tcW w:w="280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BA43E0" w:rsidRPr="00BA43E0" w:rsidRDefault="00BA43E0" w:rsidP="00BA43E0">
            <w:pPr>
              <w:spacing w:after="0" w:line="240" w:lineRule="auto"/>
              <w:rPr>
                <w:rFonts w:ascii="Calibri" w:eastAsia="Times New Roman" w:hAnsi="Calibri" w:cs="Times New Roman"/>
                <w:b/>
                <w:bCs/>
                <w:color w:val="000000"/>
                <w:sz w:val="20"/>
                <w:szCs w:val="20"/>
                <w:lang w:eastAsia="en-IE"/>
              </w:rPr>
            </w:pPr>
            <w:r w:rsidRPr="00BA43E0">
              <w:rPr>
                <w:rFonts w:ascii="Calibri" w:eastAsia="Times New Roman" w:hAnsi="Calibri" w:cs="Times New Roman"/>
                <w:b/>
                <w:bCs/>
                <w:color w:val="000000"/>
                <w:sz w:val="20"/>
                <w:szCs w:val="20"/>
                <w:lang w:eastAsia="en-IE"/>
              </w:rPr>
              <w:t>Qualifying Interest</w:t>
            </w:r>
          </w:p>
        </w:tc>
        <w:tc>
          <w:tcPr>
            <w:tcW w:w="2520" w:type="dxa"/>
            <w:tcBorders>
              <w:top w:val="single" w:sz="4" w:space="0" w:color="auto"/>
              <w:left w:val="nil"/>
              <w:bottom w:val="single" w:sz="4" w:space="0" w:color="auto"/>
              <w:right w:val="single" w:sz="4" w:space="0" w:color="auto"/>
            </w:tcBorders>
            <w:shd w:val="clear" w:color="000000" w:fill="DBE5F1"/>
            <w:vAlign w:val="bottom"/>
            <w:hideMark/>
          </w:tcPr>
          <w:p w:rsidR="00BA43E0" w:rsidRPr="00BA43E0" w:rsidRDefault="00BA43E0" w:rsidP="00BA43E0">
            <w:pPr>
              <w:spacing w:after="0" w:line="240" w:lineRule="auto"/>
              <w:rPr>
                <w:rFonts w:ascii="Calibri" w:eastAsia="Times New Roman" w:hAnsi="Calibri" w:cs="Times New Roman"/>
                <w:b/>
                <w:bCs/>
                <w:color w:val="000000"/>
                <w:sz w:val="20"/>
                <w:szCs w:val="20"/>
                <w:lang w:eastAsia="en-IE"/>
              </w:rPr>
            </w:pPr>
            <w:r w:rsidRPr="00BA43E0">
              <w:rPr>
                <w:rFonts w:ascii="Calibri" w:eastAsia="Times New Roman" w:hAnsi="Calibri" w:cs="Times New Roman"/>
                <w:b/>
                <w:bCs/>
                <w:color w:val="000000"/>
                <w:sz w:val="20"/>
                <w:szCs w:val="20"/>
                <w:lang w:eastAsia="en-IE"/>
              </w:rPr>
              <w:t>Marine Community Type</w:t>
            </w:r>
          </w:p>
        </w:tc>
        <w:tc>
          <w:tcPr>
            <w:tcW w:w="1340" w:type="dxa"/>
            <w:tcBorders>
              <w:top w:val="single" w:sz="4" w:space="0" w:color="auto"/>
              <w:left w:val="nil"/>
              <w:bottom w:val="single" w:sz="4" w:space="0" w:color="auto"/>
              <w:right w:val="single" w:sz="4" w:space="0" w:color="auto"/>
            </w:tcBorders>
            <w:shd w:val="clear" w:color="000000" w:fill="DBE5F1"/>
            <w:vAlign w:val="bottom"/>
            <w:hideMark/>
          </w:tcPr>
          <w:p w:rsidR="00BA43E0" w:rsidRPr="00BA43E0" w:rsidRDefault="00BA43E0" w:rsidP="00BA43E0">
            <w:pPr>
              <w:spacing w:after="0" w:line="240" w:lineRule="auto"/>
              <w:rPr>
                <w:rFonts w:ascii="Calibri" w:eastAsia="Times New Roman" w:hAnsi="Calibri" w:cs="Times New Roman"/>
                <w:b/>
                <w:bCs/>
                <w:color w:val="000000"/>
                <w:sz w:val="20"/>
                <w:szCs w:val="20"/>
                <w:lang w:eastAsia="en-IE"/>
              </w:rPr>
            </w:pPr>
            <w:r w:rsidRPr="00BA43E0">
              <w:rPr>
                <w:rFonts w:ascii="Calibri" w:eastAsia="Times New Roman" w:hAnsi="Calibri" w:cs="Times New Roman"/>
                <w:b/>
                <w:bCs/>
                <w:color w:val="000000"/>
                <w:sz w:val="20"/>
                <w:szCs w:val="20"/>
                <w:lang w:eastAsia="en-IE"/>
              </w:rPr>
              <w:t>Description</w:t>
            </w:r>
          </w:p>
        </w:tc>
        <w:tc>
          <w:tcPr>
            <w:tcW w:w="580" w:type="dxa"/>
            <w:tcBorders>
              <w:top w:val="single" w:sz="4" w:space="0" w:color="auto"/>
              <w:left w:val="nil"/>
              <w:bottom w:val="single" w:sz="4" w:space="0" w:color="auto"/>
              <w:right w:val="single" w:sz="4" w:space="0" w:color="auto"/>
            </w:tcBorders>
            <w:shd w:val="clear" w:color="000000" w:fill="DBE5F1"/>
            <w:textDirection w:val="btLr"/>
            <w:vAlign w:val="bottom"/>
            <w:hideMark/>
          </w:tcPr>
          <w:p w:rsidR="00BA43E0" w:rsidRPr="00BA43E0" w:rsidRDefault="00BA43E0" w:rsidP="00BA43E0">
            <w:pPr>
              <w:spacing w:after="0" w:line="240" w:lineRule="auto"/>
              <w:rPr>
                <w:rFonts w:ascii="Calibri" w:eastAsia="Times New Roman" w:hAnsi="Calibri" w:cs="Times New Roman"/>
                <w:b/>
                <w:bCs/>
                <w:color w:val="000000"/>
                <w:sz w:val="20"/>
                <w:szCs w:val="20"/>
                <w:lang w:eastAsia="en-IE"/>
              </w:rPr>
            </w:pPr>
            <w:r w:rsidRPr="00BA43E0">
              <w:rPr>
                <w:rFonts w:ascii="Calibri" w:eastAsia="Times New Roman" w:hAnsi="Calibri" w:cs="Times New Roman"/>
                <w:b/>
                <w:bCs/>
                <w:color w:val="000000"/>
                <w:sz w:val="20"/>
                <w:szCs w:val="20"/>
                <w:lang w:eastAsia="en-IE"/>
              </w:rPr>
              <w:t>Trap - shrimp</w:t>
            </w:r>
          </w:p>
        </w:tc>
        <w:tc>
          <w:tcPr>
            <w:tcW w:w="580" w:type="dxa"/>
            <w:tcBorders>
              <w:top w:val="single" w:sz="4" w:space="0" w:color="auto"/>
              <w:left w:val="nil"/>
              <w:bottom w:val="single" w:sz="4" w:space="0" w:color="auto"/>
              <w:right w:val="single" w:sz="4" w:space="0" w:color="auto"/>
            </w:tcBorders>
            <w:shd w:val="clear" w:color="000000" w:fill="DBE5F1"/>
            <w:textDirection w:val="btLr"/>
            <w:vAlign w:val="bottom"/>
            <w:hideMark/>
          </w:tcPr>
          <w:p w:rsidR="00BA43E0" w:rsidRPr="00BA43E0" w:rsidRDefault="00BA43E0" w:rsidP="00BA43E0">
            <w:pPr>
              <w:spacing w:after="0" w:line="240" w:lineRule="auto"/>
              <w:rPr>
                <w:rFonts w:ascii="Calibri" w:eastAsia="Times New Roman" w:hAnsi="Calibri" w:cs="Times New Roman"/>
                <w:b/>
                <w:bCs/>
                <w:color w:val="000000"/>
                <w:sz w:val="20"/>
                <w:szCs w:val="20"/>
                <w:lang w:eastAsia="en-IE"/>
              </w:rPr>
            </w:pPr>
            <w:r w:rsidRPr="00BA43E0">
              <w:rPr>
                <w:rFonts w:ascii="Calibri" w:eastAsia="Times New Roman" w:hAnsi="Calibri" w:cs="Times New Roman"/>
                <w:b/>
                <w:bCs/>
                <w:color w:val="000000"/>
                <w:sz w:val="20"/>
                <w:szCs w:val="20"/>
                <w:lang w:eastAsia="en-IE"/>
              </w:rPr>
              <w:t>Trap - whelk</w:t>
            </w:r>
          </w:p>
        </w:tc>
        <w:tc>
          <w:tcPr>
            <w:tcW w:w="580" w:type="dxa"/>
            <w:tcBorders>
              <w:top w:val="single" w:sz="4" w:space="0" w:color="auto"/>
              <w:left w:val="nil"/>
              <w:bottom w:val="single" w:sz="4" w:space="0" w:color="auto"/>
              <w:right w:val="single" w:sz="4" w:space="0" w:color="auto"/>
            </w:tcBorders>
            <w:shd w:val="clear" w:color="000000" w:fill="DBE5F1"/>
            <w:textDirection w:val="btLr"/>
            <w:vAlign w:val="bottom"/>
            <w:hideMark/>
          </w:tcPr>
          <w:p w:rsidR="00BA43E0" w:rsidRPr="00BA43E0" w:rsidRDefault="00BA43E0" w:rsidP="00BA43E0">
            <w:pPr>
              <w:spacing w:after="0" w:line="240" w:lineRule="auto"/>
              <w:rPr>
                <w:rFonts w:ascii="Calibri" w:eastAsia="Times New Roman" w:hAnsi="Calibri" w:cs="Times New Roman"/>
                <w:b/>
                <w:bCs/>
                <w:color w:val="000000"/>
                <w:sz w:val="20"/>
                <w:szCs w:val="20"/>
                <w:lang w:eastAsia="en-IE"/>
              </w:rPr>
            </w:pPr>
            <w:r w:rsidRPr="00BA43E0">
              <w:rPr>
                <w:rFonts w:ascii="Calibri" w:eastAsia="Times New Roman" w:hAnsi="Calibri" w:cs="Times New Roman"/>
                <w:b/>
                <w:bCs/>
                <w:color w:val="000000"/>
                <w:sz w:val="20"/>
                <w:szCs w:val="20"/>
                <w:lang w:eastAsia="en-IE"/>
              </w:rPr>
              <w:t>Dredge - scallop</w:t>
            </w:r>
          </w:p>
        </w:tc>
        <w:tc>
          <w:tcPr>
            <w:tcW w:w="580" w:type="dxa"/>
            <w:tcBorders>
              <w:top w:val="single" w:sz="4" w:space="0" w:color="auto"/>
              <w:left w:val="nil"/>
              <w:bottom w:val="single" w:sz="4" w:space="0" w:color="auto"/>
              <w:right w:val="single" w:sz="4" w:space="0" w:color="auto"/>
            </w:tcBorders>
            <w:shd w:val="clear" w:color="000000" w:fill="DBE5F1"/>
            <w:textDirection w:val="btLr"/>
            <w:vAlign w:val="bottom"/>
            <w:hideMark/>
          </w:tcPr>
          <w:p w:rsidR="00BA43E0" w:rsidRPr="00BA43E0" w:rsidRDefault="00BA43E0" w:rsidP="00BA43E0">
            <w:pPr>
              <w:spacing w:after="0" w:line="240" w:lineRule="auto"/>
              <w:rPr>
                <w:rFonts w:ascii="Calibri" w:eastAsia="Times New Roman" w:hAnsi="Calibri" w:cs="Times New Roman"/>
                <w:b/>
                <w:bCs/>
                <w:color w:val="000000"/>
                <w:sz w:val="20"/>
                <w:szCs w:val="20"/>
                <w:lang w:eastAsia="en-IE"/>
              </w:rPr>
            </w:pPr>
            <w:r w:rsidRPr="00BA43E0">
              <w:rPr>
                <w:rFonts w:ascii="Calibri" w:eastAsia="Times New Roman" w:hAnsi="Calibri" w:cs="Times New Roman"/>
                <w:b/>
                <w:bCs/>
                <w:color w:val="000000"/>
                <w:sz w:val="20"/>
                <w:szCs w:val="20"/>
                <w:lang w:eastAsia="en-IE"/>
              </w:rPr>
              <w:t>Dredge oyster</w:t>
            </w:r>
          </w:p>
        </w:tc>
      </w:tr>
      <w:tr w:rsidR="00BA43E0" w:rsidRPr="00BA43E0" w:rsidTr="00BA43E0">
        <w:trPr>
          <w:trHeight w:val="615"/>
        </w:trPr>
        <w:tc>
          <w:tcPr>
            <w:tcW w:w="2800" w:type="dxa"/>
            <w:tcBorders>
              <w:top w:val="nil"/>
              <w:left w:val="single" w:sz="4" w:space="0" w:color="auto"/>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Mudflats and sandflats not covered by seawater at low tide [1140]</w:t>
            </w:r>
          </w:p>
        </w:tc>
        <w:tc>
          <w:tcPr>
            <w:tcW w:w="252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Mobile sand with Bathyporeia guilliamsoniana community</w:t>
            </w:r>
          </w:p>
        </w:tc>
        <w:tc>
          <w:tcPr>
            <w:tcW w:w="134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Sand</w:t>
            </w:r>
          </w:p>
        </w:tc>
        <w:tc>
          <w:tcPr>
            <w:tcW w:w="58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 </w:t>
            </w:r>
          </w:p>
        </w:tc>
        <w:tc>
          <w:tcPr>
            <w:tcW w:w="58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 </w:t>
            </w:r>
          </w:p>
        </w:tc>
        <w:tc>
          <w:tcPr>
            <w:tcW w:w="58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 </w:t>
            </w:r>
          </w:p>
        </w:tc>
        <w:tc>
          <w:tcPr>
            <w:tcW w:w="58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 </w:t>
            </w:r>
          </w:p>
        </w:tc>
      </w:tr>
      <w:tr w:rsidR="00BA43E0" w:rsidRPr="00BA43E0" w:rsidTr="00BA43E0">
        <w:trPr>
          <w:trHeight w:val="615"/>
        </w:trPr>
        <w:tc>
          <w:tcPr>
            <w:tcW w:w="2800" w:type="dxa"/>
            <w:tcBorders>
              <w:top w:val="nil"/>
              <w:left w:val="single" w:sz="4" w:space="0" w:color="auto"/>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Mudflats and sandflats not covered by seawater at low tide [1140]</w:t>
            </w:r>
          </w:p>
        </w:tc>
        <w:tc>
          <w:tcPr>
            <w:tcW w:w="252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Sand with Angulus tenuis and Pygospio elegans community complex</w:t>
            </w:r>
          </w:p>
        </w:tc>
        <w:tc>
          <w:tcPr>
            <w:tcW w:w="134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Sand</w:t>
            </w:r>
          </w:p>
        </w:tc>
        <w:tc>
          <w:tcPr>
            <w:tcW w:w="58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 </w:t>
            </w:r>
          </w:p>
        </w:tc>
        <w:tc>
          <w:tcPr>
            <w:tcW w:w="58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 </w:t>
            </w:r>
          </w:p>
        </w:tc>
        <w:tc>
          <w:tcPr>
            <w:tcW w:w="58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 </w:t>
            </w:r>
          </w:p>
        </w:tc>
        <w:tc>
          <w:tcPr>
            <w:tcW w:w="580" w:type="dxa"/>
            <w:tcBorders>
              <w:top w:val="single" w:sz="4" w:space="0" w:color="auto"/>
              <w:left w:val="single" w:sz="4" w:space="0" w:color="auto"/>
              <w:bottom w:val="single" w:sz="4" w:space="0" w:color="auto"/>
              <w:right w:val="single" w:sz="4" w:space="0" w:color="auto"/>
            </w:tcBorders>
            <w:shd w:val="clear" w:color="000000" w:fill="92D050"/>
            <w:vAlign w:val="bottom"/>
            <w:hideMark/>
          </w:tcPr>
          <w:p w:rsidR="00BA43E0" w:rsidRPr="00BA43E0" w:rsidRDefault="00BA43E0" w:rsidP="00BA43E0">
            <w:pPr>
              <w:spacing w:after="0" w:line="240" w:lineRule="auto"/>
              <w:jc w:val="right"/>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4</w:t>
            </w:r>
          </w:p>
        </w:tc>
      </w:tr>
      <w:tr w:rsidR="00BA43E0" w:rsidRPr="00BA43E0" w:rsidTr="00BA43E0">
        <w:trPr>
          <w:trHeight w:val="615"/>
        </w:trPr>
        <w:tc>
          <w:tcPr>
            <w:tcW w:w="2800" w:type="dxa"/>
            <w:tcBorders>
              <w:top w:val="nil"/>
              <w:left w:val="single" w:sz="4" w:space="0" w:color="auto"/>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Large shallow inlets and bays [1160]</w:t>
            </w:r>
          </w:p>
        </w:tc>
        <w:tc>
          <w:tcPr>
            <w:tcW w:w="252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Sand with Angulus tenuis and Pygospio elegans community complex</w:t>
            </w:r>
          </w:p>
        </w:tc>
        <w:tc>
          <w:tcPr>
            <w:tcW w:w="134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Sand</w:t>
            </w:r>
          </w:p>
        </w:tc>
        <w:tc>
          <w:tcPr>
            <w:tcW w:w="58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 </w:t>
            </w:r>
          </w:p>
        </w:tc>
        <w:tc>
          <w:tcPr>
            <w:tcW w:w="58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 </w:t>
            </w:r>
          </w:p>
        </w:tc>
        <w:tc>
          <w:tcPr>
            <w:tcW w:w="58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 </w:t>
            </w:r>
          </w:p>
        </w:tc>
        <w:tc>
          <w:tcPr>
            <w:tcW w:w="580" w:type="dxa"/>
            <w:tcBorders>
              <w:top w:val="single" w:sz="4" w:space="0" w:color="auto"/>
              <w:left w:val="single" w:sz="4" w:space="0" w:color="auto"/>
              <w:bottom w:val="single" w:sz="4" w:space="0" w:color="auto"/>
              <w:right w:val="single" w:sz="4" w:space="0" w:color="auto"/>
            </w:tcBorders>
            <w:shd w:val="clear" w:color="000000" w:fill="92D050"/>
            <w:vAlign w:val="bottom"/>
            <w:hideMark/>
          </w:tcPr>
          <w:p w:rsidR="00BA43E0" w:rsidRPr="00BA43E0" w:rsidRDefault="00BA43E0" w:rsidP="00BA43E0">
            <w:pPr>
              <w:spacing w:after="0" w:line="240" w:lineRule="auto"/>
              <w:jc w:val="right"/>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4</w:t>
            </w:r>
          </w:p>
        </w:tc>
      </w:tr>
      <w:tr w:rsidR="00BA43E0" w:rsidRPr="00BA43E0" w:rsidTr="00BA43E0">
        <w:trPr>
          <w:trHeight w:val="615"/>
        </w:trPr>
        <w:tc>
          <w:tcPr>
            <w:tcW w:w="2800" w:type="dxa"/>
            <w:tcBorders>
              <w:top w:val="nil"/>
              <w:left w:val="single" w:sz="4" w:space="0" w:color="auto"/>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Large shallow inlets and bays [1160]</w:t>
            </w:r>
          </w:p>
        </w:tc>
        <w:tc>
          <w:tcPr>
            <w:tcW w:w="252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Sand with Gastrosaccus spinifer community complex</w:t>
            </w:r>
          </w:p>
        </w:tc>
        <w:tc>
          <w:tcPr>
            <w:tcW w:w="134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Sand</w:t>
            </w:r>
          </w:p>
        </w:tc>
        <w:tc>
          <w:tcPr>
            <w:tcW w:w="580" w:type="dxa"/>
            <w:tcBorders>
              <w:top w:val="single" w:sz="4" w:space="0" w:color="auto"/>
              <w:left w:val="single" w:sz="4" w:space="0" w:color="auto"/>
              <w:bottom w:val="single" w:sz="4" w:space="0" w:color="auto"/>
              <w:right w:val="single" w:sz="4" w:space="0" w:color="auto"/>
            </w:tcBorders>
            <w:shd w:val="clear" w:color="000000" w:fill="92D050"/>
            <w:vAlign w:val="bottom"/>
            <w:hideMark/>
          </w:tcPr>
          <w:p w:rsidR="00BA43E0" w:rsidRPr="00BA43E0" w:rsidRDefault="00BA43E0" w:rsidP="00BA43E0">
            <w:pPr>
              <w:spacing w:after="0" w:line="240" w:lineRule="auto"/>
              <w:jc w:val="right"/>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4</w:t>
            </w:r>
          </w:p>
        </w:tc>
        <w:tc>
          <w:tcPr>
            <w:tcW w:w="580" w:type="dxa"/>
            <w:tcBorders>
              <w:top w:val="single" w:sz="4" w:space="0" w:color="auto"/>
              <w:left w:val="single" w:sz="4" w:space="0" w:color="auto"/>
              <w:bottom w:val="single" w:sz="4" w:space="0" w:color="auto"/>
              <w:right w:val="single" w:sz="4" w:space="0" w:color="auto"/>
            </w:tcBorders>
            <w:shd w:val="clear" w:color="000000" w:fill="92D050"/>
            <w:vAlign w:val="bottom"/>
            <w:hideMark/>
          </w:tcPr>
          <w:p w:rsidR="00BA43E0" w:rsidRPr="00BA43E0" w:rsidRDefault="00BA43E0" w:rsidP="00BA43E0">
            <w:pPr>
              <w:spacing w:after="0" w:line="240" w:lineRule="auto"/>
              <w:jc w:val="right"/>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4</w:t>
            </w:r>
          </w:p>
        </w:tc>
        <w:tc>
          <w:tcPr>
            <w:tcW w:w="580" w:type="dxa"/>
            <w:tcBorders>
              <w:top w:val="single" w:sz="4" w:space="0" w:color="auto"/>
              <w:left w:val="single" w:sz="4" w:space="0" w:color="auto"/>
              <w:bottom w:val="single" w:sz="4" w:space="0" w:color="auto"/>
              <w:right w:val="single" w:sz="4" w:space="0" w:color="auto"/>
            </w:tcBorders>
            <w:shd w:val="clear" w:color="000000" w:fill="FAC090"/>
            <w:vAlign w:val="bottom"/>
            <w:hideMark/>
          </w:tcPr>
          <w:p w:rsidR="00BA43E0" w:rsidRPr="00BA43E0" w:rsidRDefault="00BA43E0" w:rsidP="00BA43E0">
            <w:pPr>
              <w:spacing w:after="0" w:line="240" w:lineRule="auto"/>
              <w:jc w:val="right"/>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12</w:t>
            </w:r>
          </w:p>
        </w:tc>
        <w:tc>
          <w:tcPr>
            <w:tcW w:w="58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 </w:t>
            </w:r>
          </w:p>
        </w:tc>
      </w:tr>
      <w:tr w:rsidR="00BA43E0" w:rsidRPr="00BA43E0" w:rsidTr="00BA43E0">
        <w:trPr>
          <w:trHeight w:val="615"/>
        </w:trPr>
        <w:tc>
          <w:tcPr>
            <w:tcW w:w="2800" w:type="dxa"/>
            <w:tcBorders>
              <w:top w:val="nil"/>
              <w:left w:val="single" w:sz="4" w:space="0" w:color="auto"/>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Large shallow inlets and bays [1160]</w:t>
            </w:r>
          </w:p>
        </w:tc>
        <w:tc>
          <w:tcPr>
            <w:tcW w:w="252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Fine sand with Angulus fabula community complex</w:t>
            </w:r>
          </w:p>
        </w:tc>
        <w:tc>
          <w:tcPr>
            <w:tcW w:w="134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Sand</w:t>
            </w:r>
          </w:p>
        </w:tc>
        <w:tc>
          <w:tcPr>
            <w:tcW w:w="580" w:type="dxa"/>
            <w:tcBorders>
              <w:top w:val="single" w:sz="4" w:space="0" w:color="auto"/>
              <w:left w:val="single" w:sz="4" w:space="0" w:color="auto"/>
              <w:bottom w:val="single" w:sz="4" w:space="0" w:color="auto"/>
              <w:right w:val="single" w:sz="4" w:space="0" w:color="auto"/>
            </w:tcBorders>
            <w:shd w:val="clear" w:color="000000" w:fill="92D050"/>
            <w:vAlign w:val="bottom"/>
            <w:hideMark/>
          </w:tcPr>
          <w:p w:rsidR="00BA43E0" w:rsidRPr="00BA43E0" w:rsidRDefault="00BA43E0" w:rsidP="00BA43E0">
            <w:pPr>
              <w:spacing w:after="0" w:line="240" w:lineRule="auto"/>
              <w:jc w:val="right"/>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4</w:t>
            </w:r>
          </w:p>
        </w:tc>
        <w:tc>
          <w:tcPr>
            <w:tcW w:w="580" w:type="dxa"/>
            <w:tcBorders>
              <w:top w:val="single" w:sz="4" w:space="0" w:color="auto"/>
              <w:left w:val="single" w:sz="4" w:space="0" w:color="auto"/>
              <w:bottom w:val="single" w:sz="4" w:space="0" w:color="auto"/>
              <w:right w:val="single" w:sz="4" w:space="0" w:color="auto"/>
            </w:tcBorders>
            <w:shd w:val="clear" w:color="000000" w:fill="92D050"/>
            <w:vAlign w:val="bottom"/>
            <w:hideMark/>
          </w:tcPr>
          <w:p w:rsidR="00BA43E0" w:rsidRPr="00BA43E0" w:rsidRDefault="00BA43E0" w:rsidP="00BA43E0">
            <w:pPr>
              <w:spacing w:after="0" w:line="240" w:lineRule="auto"/>
              <w:jc w:val="right"/>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4</w:t>
            </w:r>
          </w:p>
        </w:tc>
        <w:tc>
          <w:tcPr>
            <w:tcW w:w="580" w:type="dxa"/>
            <w:tcBorders>
              <w:top w:val="single" w:sz="4" w:space="0" w:color="auto"/>
              <w:left w:val="single" w:sz="4" w:space="0" w:color="auto"/>
              <w:bottom w:val="single" w:sz="4" w:space="0" w:color="auto"/>
              <w:right w:val="single" w:sz="4" w:space="0" w:color="auto"/>
            </w:tcBorders>
            <w:shd w:val="clear" w:color="000000" w:fill="FAC090"/>
            <w:vAlign w:val="bottom"/>
            <w:hideMark/>
          </w:tcPr>
          <w:p w:rsidR="00BA43E0" w:rsidRPr="00BA43E0" w:rsidRDefault="00BA43E0" w:rsidP="00BA43E0">
            <w:pPr>
              <w:spacing w:after="0" w:line="240" w:lineRule="auto"/>
              <w:jc w:val="right"/>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12</w:t>
            </w:r>
          </w:p>
        </w:tc>
        <w:tc>
          <w:tcPr>
            <w:tcW w:w="580" w:type="dxa"/>
            <w:tcBorders>
              <w:top w:val="single" w:sz="4" w:space="0" w:color="auto"/>
              <w:left w:val="single" w:sz="4" w:space="0" w:color="auto"/>
              <w:bottom w:val="single" w:sz="4" w:space="0" w:color="auto"/>
              <w:right w:val="single" w:sz="4" w:space="0" w:color="auto"/>
            </w:tcBorders>
            <w:shd w:val="clear" w:color="000000" w:fill="92D050"/>
            <w:vAlign w:val="bottom"/>
            <w:hideMark/>
          </w:tcPr>
          <w:p w:rsidR="00BA43E0" w:rsidRPr="00BA43E0" w:rsidRDefault="00BA43E0" w:rsidP="00BA43E0">
            <w:pPr>
              <w:spacing w:after="0" w:line="240" w:lineRule="auto"/>
              <w:jc w:val="right"/>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4</w:t>
            </w:r>
          </w:p>
        </w:tc>
      </w:tr>
      <w:tr w:rsidR="00BA43E0" w:rsidRPr="00BA43E0" w:rsidTr="00337EFC">
        <w:trPr>
          <w:trHeight w:val="408"/>
        </w:trPr>
        <w:tc>
          <w:tcPr>
            <w:tcW w:w="2800" w:type="dxa"/>
            <w:tcBorders>
              <w:top w:val="nil"/>
              <w:left w:val="single" w:sz="4" w:space="0" w:color="auto"/>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Large shallow inlets and bays [1160]</w:t>
            </w:r>
          </w:p>
        </w:tc>
        <w:tc>
          <w:tcPr>
            <w:tcW w:w="252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Zostera-dominated community</w:t>
            </w:r>
          </w:p>
        </w:tc>
        <w:tc>
          <w:tcPr>
            <w:tcW w:w="134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Seagrass</w:t>
            </w:r>
          </w:p>
        </w:tc>
        <w:tc>
          <w:tcPr>
            <w:tcW w:w="58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 </w:t>
            </w:r>
          </w:p>
        </w:tc>
        <w:tc>
          <w:tcPr>
            <w:tcW w:w="58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 </w:t>
            </w:r>
          </w:p>
        </w:tc>
        <w:tc>
          <w:tcPr>
            <w:tcW w:w="58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 </w:t>
            </w:r>
          </w:p>
        </w:tc>
        <w:tc>
          <w:tcPr>
            <w:tcW w:w="580" w:type="dxa"/>
            <w:tcBorders>
              <w:top w:val="single" w:sz="4" w:space="0" w:color="auto"/>
              <w:left w:val="single" w:sz="4" w:space="0" w:color="auto"/>
              <w:bottom w:val="single" w:sz="4" w:space="0" w:color="auto"/>
              <w:right w:val="single" w:sz="4" w:space="0" w:color="auto"/>
            </w:tcBorders>
            <w:shd w:val="clear" w:color="000000" w:fill="FF0000"/>
            <w:vAlign w:val="bottom"/>
            <w:hideMark/>
          </w:tcPr>
          <w:p w:rsidR="00BA43E0" w:rsidRPr="00BA43E0" w:rsidRDefault="00BA43E0" w:rsidP="00BA43E0">
            <w:pPr>
              <w:spacing w:after="0" w:line="240" w:lineRule="auto"/>
              <w:jc w:val="right"/>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20</w:t>
            </w:r>
          </w:p>
        </w:tc>
      </w:tr>
      <w:tr w:rsidR="00BA43E0" w:rsidRPr="00BA43E0" w:rsidTr="00337EFC">
        <w:trPr>
          <w:trHeight w:val="488"/>
        </w:trPr>
        <w:tc>
          <w:tcPr>
            <w:tcW w:w="2800" w:type="dxa"/>
            <w:tcBorders>
              <w:top w:val="nil"/>
              <w:left w:val="single" w:sz="4" w:space="0" w:color="auto"/>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Large shallow inlets and bays [1160]</w:t>
            </w:r>
          </w:p>
        </w:tc>
        <w:tc>
          <w:tcPr>
            <w:tcW w:w="252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Maërl-dominated community</w:t>
            </w:r>
          </w:p>
        </w:tc>
        <w:tc>
          <w:tcPr>
            <w:tcW w:w="134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Corraline algae</w:t>
            </w:r>
          </w:p>
        </w:tc>
        <w:tc>
          <w:tcPr>
            <w:tcW w:w="58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 </w:t>
            </w:r>
          </w:p>
        </w:tc>
        <w:tc>
          <w:tcPr>
            <w:tcW w:w="58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 </w:t>
            </w:r>
          </w:p>
        </w:tc>
        <w:tc>
          <w:tcPr>
            <w:tcW w:w="58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 </w:t>
            </w:r>
          </w:p>
        </w:tc>
        <w:tc>
          <w:tcPr>
            <w:tcW w:w="58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 </w:t>
            </w:r>
          </w:p>
        </w:tc>
      </w:tr>
      <w:tr w:rsidR="00BA43E0" w:rsidRPr="00BA43E0" w:rsidTr="00BA43E0">
        <w:trPr>
          <w:trHeight w:val="615"/>
        </w:trPr>
        <w:tc>
          <w:tcPr>
            <w:tcW w:w="2800" w:type="dxa"/>
            <w:tcBorders>
              <w:top w:val="nil"/>
              <w:left w:val="single" w:sz="4" w:space="0" w:color="auto"/>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Large shallow inlets and bays [1160]</w:t>
            </w:r>
          </w:p>
        </w:tc>
        <w:tc>
          <w:tcPr>
            <w:tcW w:w="252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Serpula vermicularis-dominated community complex</w:t>
            </w:r>
          </w:p>
        </w:tc>
        <w:tc>
          <w:tcPr>
            <w:tcW w:w="134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Biogenic reef</w:t>
            </w:r>
          </w:p>
        </w:tc>
        <w:tc>
          <w:tcPr>
            <w:tcW w:w="580" w:type="dxa"/>
            <w:tcBorders>
              <w:top w:val="single" w:sz="4" w:space="0" w:color="auto"/>
              <w:left w:val="single" w:sz="4" w:space="0" w:color="auto"/>
              <w:bottom w:val="single" w:sz="4" w:space="0" w:color="auto"/>
              <w:right w:val="single" w:sz="4" w:space="0" w:color="auto"/>
            </w:tcBorders>
            <w:shd w:val="clear" w:color="000000" w:fill="FAC090"/>
            <w:vAlign w:val="bottom"/>
            <w:hideMark/>
          </w:tcPr>
          <w:p w:rsidR="00BA43E0" w:rsidRPr="00BA43E0" w:rsidRDefault="00BA43E0" w:rsidP="00BA43E0">
            <w:pPr>
              <w:spacing w:after="0" w:line="240" w:lineRule="auto"/>
              <w:jc w:val="right"/>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12</w:t>
            </w:r>
          </w:p>
        </w:tc>
        <w:tc>
          <w:tcPr>
            <w:tcW w:w="580" w:type="dxa"/>
            <w:tcBorders>
              <w:top w:val="single" w:sz="4" w:space="0" w:color="auto"/>
              <w:left w:val="single" w:sz="4" w:space="0" w:color="auto"/>
              <w:bottom w:val="single" w:sz="4" w:space="0" w:color="auto"/>
              <w:right w:val="single" w:sz="4" w:space="0" w:color="auto"/>
            </w:tcBorders>
            <w:shd w:val="clear" w:color="000000" w:fill="FAC090"/>
            <w:vAlign w:val="bottom"/>
            <w:hideMark/>
          </w:tcPr>
          <w:p w:rsidR="00BA43E0" w:rsidRPr="00BA43E0" w:rsidRDefault="00BA43E0" w:rsidP="00BA43E0">
            <w:pPr>
              <w:spacing w:after="0" w:line="240" w:lineRule="auto"/>
              <w:jc w:val="right"/>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12</w:t>
            </w:r>
          </w:p>
        </w:tc>
        <w:tc>
          <w:tcPr>
            <w:tcW w:w="580" w:type="dxa"/>
            <w:tcBorders>
              <w:top w:val="single" w:sz="4" w:space="0" w:color="auto"/>
              <w:left w:val="single" w:sz="4" w:space="0" w:color="auto"/>
              <w:bottom w:val="single" w:sz="4" w:space="0" w:color="auto"/>
              <w:right w:val="single" w:sz="4" w:space="0" w:color="auto"/>
            </w:tcBorders>
            <w:shd w:val="clear" w:color="000000" w:fill="FF0000"/>
            <w:vAlign w:val="bottom"/>
            <w:hideMark/>
          </w:tcPr>
          <w:p w:rsidR="00BA43E0" w:rsidRPr="00BA43E0" w:rsidRDefault="00BA43E0" w:rsidP="00BA43E0">
            <w:pPr>
              <w:spacing w:after="0" w:line="240" w:lineRule="auto"/>
              <w:jc w:val="right"/>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20</w:t>
            </w:r>
          </w:p>
        </w:tc>
        <w:tc>
          <w:tcPr>
            <w:tcW w:w="58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 </w:t>
            </w:r>
          </w:p>
        </w:tc>
      </w:tr>
      <w:tr w:rsidR="00BA43E0" w:rsidRPr="00BA43E0" w:rsidTr="00337EFC">
        <w:trPr>
          <w:trHeight w:val="431"/>
        </w:trPr>
        <w:tc>
          <w:tcPr>
            <w:tcW w:w="2800" w:type="dxa"/>
            <w:tcBorders>
              <w:top w:val="nil"/>
              <w:left w:val="single" w:sz="4" w:space="0" w:color="auto"/>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Large shallow inlets and bays [1160]</w:t>
            </w:r>
          </w:p>
        </w:tc>
        <w:tc>
          <w:tcPr>
            <w:tcW w:w="252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Intertidal reef community complex</w:t>
            </w:r>
          </w:p>
        </w:tc>
        <w:tc>
          <w:tcPr>
            <w:tcW w:w="134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Reef</w:t>
            </w:r>
          </w:p>
        </w:tc>
        <w:tc>
          <w:tcPr>
            <w:tcW w:w="58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 </w:t>
            </w:r>
          </w:p>
        </w:tc>
        <w:tc>
          <w:tcPr>
            <w:tcW w:w="58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 </w:t>
            </w:r>
          </w:p>
        </w:tc>
        <w:tc>
          <w:tcPr>
            <w:tcW w:w="58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 </w:t>
            </w:r>
          </w:p>
        </w:tc>
        <w:tc>
          <w:tcPr>
            <w:tcW w:w="580" w:type="dxa"/>
            <w:tcBorders>
              <w:top w:val="single" w:sz="4" w:space="0" w:color="auto"/>
              <w:left w:val="single" w:sz="4" w:space="0" w:color="auto"/>
              <w:bottom w:val="single" w:sz="4" w:space="0" w:color="auto"/>
              <w:right w:val="single" w:sz="4" w:space="0" w:color="auto"/>
            </w:tcBorders>
            <w:shd w:val="clear" w:color="000000" w:fill="FF0000"/>
            <w:vAlign w:val="bottom"/>
            <w:hideMark/>
          </w:tcPr>
          <w:p w:rsidR="00BA43E0" w:rsidRPr="00BA43E0" w:rsidRDefault="00BA43E0" w:rsidP="00BA43E0">
            <w:pPr>
              <w:spacing w:after="0" w:line="240" w:lineRule="auto"/>
              <w:jc w:val="right"/>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16</w:t>
            </w:r>
          </w:p>
        </w:tc>
      </w:tr>
      <w:tr w:rsidR="00BA43E0" w:rsidRPr="00BA43E0" w:rsidTr="00BA43E0">
        <w:trPr>
          <w:trHeight w:val="615"/>
        </w:trPr>
        <w:tc>
          <w:tcPr>
            <w:tcW w:w="2800" w:type="dxa"/>
            <w:tcBorders>
              <w:top w:val="nil"/>
              <w:left w:val="single" w:sz="4" w:space="0" w:color="auto"/>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Large shallow inlets and bays [1160]</w:t>
            </w:r>
          </w:p>
        </w:tc>
        <w:tc>
          <w:tcPr>
            <w:tcW w:w="252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Sheltered subtidal reef community complex</w:t>
            </w:r>
          </w:p>
        </w:tc>
        <w:tc>
          <w:tcPr>
            <w:tcW w:w="134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Reef</w:t>
            </w:r>
          </w:p>
        </w:tc>
        <w:tc>
          <w:tcPr>
            <w:tcW w:w="58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 </w:t>
            </w:r>
          </w:p>
        </w:tc>
        <w:tc>
          <w:tcPr>
            <w:tcW w:w="58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 </w:t>
            </w:r>
          </w:p>
        </w:tc>
        <w:tc>
          <w:tcPr>
            <w:tcW w:w="58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 </w:t>
            </w:r>
          </w:p>
        </w:tc>
        <w:tc>
          <w:tcPr>
            <w:tcW w:w="58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 </w:t>
            </w:r>
          </w:p>
        </w:tc>
      </w:tr>
      <w:tr w:rsidR="00BA43E0" w:rsidRPr="00BA43E0" w:rsidTr="00BA43E0">
        <w:trPr>
          <w:trHeight w:val="615"/>
        </w:trPr>
        <w:tc>
          <w:tcPr>
            <w:tcW w:w="2800" w:type="dxa"/>
            <w:tcBorders>
              <w:top w:val="nil"/>
              <w:left w:val="single" w:sz="4" w:space="0" w:color="auto"/>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Large shallow inlets and bays [1160]</w:t>
            </w:r>
          </w:p>
        </w:tc>
        <w:tc>
          <w:tcPr>
            <w:tcW w:w="252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Laminaria-dominated community complex</w:t>
            </w:r>
          </w:p>
        </w:tc>
        <w:tc>
          <w:tcPr>
            <w:tcW w:w="134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Kelp</w:t>
            </w:r>
          </w:p>
        </w:tc>
        <w:tc>
          <w:tcPr>
            <w:tcW w:w="580"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BA43E0" w:rsidRPr="00BA43E0" w:rsidRDefault="00BA43E0" w:rsidP="00BA43E0">
            <w:pPr>
              <w:spacing w:after="0" w:line="240" w:lineRule="auto"/>
              <w:jc w:val="right"/>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9</w:t>
            </w:r>
          </w:p>
        </w:tc>
        <w:tc>
          <w:tcPr>
            <w:tcW w:w="580"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BA43E0" w:rsidRPr="00BA43E0" w:rsidRDefault="00BA43E0" w:rsidP="00BA43E0">
            <w:pPr>
              <w:spacing w:after="0" w:line="240" w:lineRule="auto"/>
              <w:jc w:val="right"/>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9</w:t>
            </w:r>
          </w:p>
        </w:tc>
        <w:tc>
          <w:tcPr>
            <w:tcW w:w="580" w:type="dxa"/>
            <w:tcBorders>
              <w:top w:val="single" w:sz="4" w:space="0" w:color="auto"/>
              <w:left w:val="single" w:sz="4" w:space="0" w:color="auto"/>
              <w:bottom w:val="single" w:sz="4" w:space="0" w:color="auto"/>
              <w:right w:val="single" w:sz="4" w:space="0" w:color="auto"/>
            </w:tcBorders>
            <w:shd w:val="clear" w:color="000000" w:fill="FF0000"/>
            <w:vAlign w:val="bottom"/>
            <w:hideMark/>
          </w:tcPr>
          <w:p w:rsidR="00BA43E0" w:rsidRPr="00BA43E0" w:rsidRDefault="00BA43E0" w:rsidP="00BA43E0">
            <w:pPr>
              <w:spacing w:after="0" w:line="240" w:lineRule="auto"/>
              <w:jc w:val="right"/>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16</w:t>
            </w:r>
          </w:p>
        </w:tc>
        <w:tc>
          <w:tcPr>
            <w:tcW w:w="58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 </w:t>
            </w:r>
          </w:p>
        </w:tc>
      </w:tr>
      <w:tr w:rsidR="00BA43E0" w:rsidRPr="00BA43E0" w:rsidTr="00337EFC">
        <w:trPr>
          <w:trHeight w:val="441"/>
        </w:trPr>
        <w:tc>
          <w:tcPr>
            <w:tcW w:w="2800" w:type="dxa"/>
            <w:tcBorders>
              <w:top w:val="nil"/>
              <w:left w:val="single" w:sz="4" w:space="0" w:color="auto"/>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Large shallow inlets and bays [1160]</w:t>
            </w:r>
          </w:p>
        </w:tc>
        <w:tc>
          <w:tcPr>
            <w:tcW w:w="252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Shingle</w:t>
            </w:r>
          </w:p>
        </w:tc>
        <w:tc>
          <w:tcPr>
            <w:tcW w:w="134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Shingle</w:t>
            </w:r>
          </w:p>
        </w:tc>
        <w:tc>
          <w:tcPr>
            <w:tcW w:w="58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 </w:t>
            </w:r>
          </w:p>
        </w:tc>
        <w:tc>
          <w:tcPr>
            <w:tcW w:w="58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 </w:t>
            </w:r>
          </w:p>
        </w:tc>
        <w:tc>
          <w:tcPr>
            <w:tcW w:w="58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 </w:t>
            </w:r>
          </w:p>
        </w:tc>
        <w:tc>
          <w:tcPr>
            <w:tcW w:w="58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 </w:t>
            </w:r>
          </w:p>
        </w:tc>
      </w:tr>
      <w:tr w:rsidR="00BA43E0" w:rsidRPr="00BA43E0" w:rsidTr="00337EFC">
        <w:trPr>
          <w:trHeight w:val="405"/>
        </w:trPr>
        <w:tc>
          <w:tcPr>
            <w:tcW w:w="2800" w:type="dxa"/>
            <w:tcBorders>
              <w:top w:val="nil"/>
              <w:left w:val="single" w:sz="4" w:space="0" w:color="auto"/>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Reefs [1170]</w:t>
            </w:r>
          </w:p>
        </w:tc>
        <w:tc>
          <w:tcPr>
            <w:tcW w:w="252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Serpula vermicularis-dominated community complex</w:t>
            </w:r>
          </w:p>
        </w:tc>
        <w:tc>
          <w:tcPr>
            <w:tcW w:w="134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Biogenic reef</w:t>
            </w:r>
          </w:p>
        </w:tc>
        <w:tc>
          <w:tcPr>
            <w:tcW w:w="580" w:type="dxa"/>
            <w:tcBorders>
              <w:top w:val="single" w:sz="4" w:space="0" w:color="auto"/>
              <w:left w:val="single" w:sz="4" w:space="0" w:color="auto"/>
              <w:bottom w:val="single" w:sz="4" w:space="0" w:color="auto"/>
              <w:right w:val="single" w:sz="4" w:space="0" w:color="auto"/>
            </w:tcBorders>
            <w:shd w:val="clear" w:color="000000" w:fill="FAC090"/>
            <w:vAlign w:val="bottom"/>
            <w:hideMark/>
          </w:tcPr>
          <w:p w:rsidR="00BA43E0" w:rsidRPr="00BA43E0" w:rsidRDefault="00BA43E0" w:rsidP="00BA43E0">
            <w:pPr>
              <w:spacing w:after="0" w:line="240" w:lineRule="auto"/>
              <w:jc w:val="right"/>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12</w:t>
            </w:r>
          </w:p>
        </w:tc>
        <w:tc>
          <w:tcPr>
            <w:tcW w:w="580" w:type="dxa"/>
            <w:tcBorders>
              <w:top w:val="single" w:sz="4" w:space="0" w:color="auto"/>
              <w:left w:val="single" w:sz="4" w:space="0" w:color="auto"/>
              <w:bottom w:val="single" w:sz="4" w:space="0" w:color="auto"/>
              <w:right w:val="single" w:sz="4" w:space="0" w:color="auto"/>
            </w:tcBorders>
            <w:shd w:val="clear" w:color="000000" w:fill="FAC090"/>
            <w:vAlign w:val="bottom"/>
            <w:hideMark/>
          </w:tcPr>
          <w:p w:rsidR="00BA43E0" w:rsidRPr="00BA43E0" w:rsidRDefault="00BA43E0" w:rsidP="00BA43E0">
            <w:pPr>
              <w:spacing w:after="0" w:line="240" w:lineRule="auto"/>
              <w:jc w:val="right"/>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12</w:t>
            </w:r>
          </w:p>
        </w:tc>
        <w:tc>
          <w:tcPr>
            <w:tcW w:w="580" w:type="dxa"/>
            <w:tcBorders>
              <w:top w:val="single" w:sz="4" w:space="0" w:color="auto"/>
              <w:left w:val="single" w:sz="4" w:space="0" w:color="auto"/>
              <w:bottom w:val="single" w:sz="4" w:space="0" w:color="auto"/>
              <w:right w:val="single" w:sz="4" w:space="0" w:color="auto"/>
            </w:tcBorders>
            <w:shd w:val="clear" w:color="000000" w:fill="FF0000"/>
            <w:vAlign w:val="bottom"/>
            <w:hideMark/>
          </w:tcPr>
          <w:p w:rsidR="00BA43E0" w:rsidRPr="00BA43E0" w:rsidRDefault="00BA43E0" w:rsidP="00BA43E0">
            <w:pPr>
              <w:spacing w:after="0" w:line="240" w:lineRule="auto"/>
              <w:jc w:val="right"/>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20</w:t>
            </w:r>
          </w:p>
        </w:tc>
        <w:tc>
          <w:tcPr>
            <w:tcW w:w="58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 </w:t>
            </w:r>
          </w:p>
        </w:tc>
      </w:tr>
      <w:tr w:rsidR="00BA43E0" w:rsidRPr="00BA43E0" w:rsidTr="00337EFC">
        <w:trPr>
          <w:trHeight w:val="424"/>
        </w:trPr>
        <w:tc>
          <w:tcPr>
            <w:tcW w:w="2800" w:type="dxa"/>
            <w:tcBorders>
              <w:top w:val="nil"/>
              <w:left w:val="single" w:sz="4" w:space="0" w:color="auto"/>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Reefs [1170]</w:t>
            </w:r>
          </w:p>
        </w:tc>
        <w:tc>
          <w:tcPr>
            <w:tcW w:w="252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Intertidal reef community complex</w:t>
            </w:r>
          </w:p>
        </w:tc>
        <w:tc>
          <w:tcPr>
            <w:tcW w:w="134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Reef</w:t>
            </w:r>
          </w:p>
        </w:tc>
        <w:tc>
          <w:tcPr>
            <w:tcW w:w="58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 </w:t>
            </w:r>
          </w:p>
        </w:tc>
        <w:tc>
          <w:tcPr>
            <w:tcW w:w="58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 </w:t>
            </w:r>
          </w:p>
        </w:tc>
        <w:tc>
          <w:tcPr>
            <w:tcW w:w="58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 </w:t>
            </w:r>
          </w:p>
        </w:tc>
        <w:tc>
          <w:tcPr>
            <w:tcW w:w="580" w:type="dxa"/>
            <w:tcBorders>
              <w:top w:val="single" w:sz="4" w:space="0" w:color="auto"/>
              <w:left w:val="single" w:sz="4" w:space="0" w:color="auto"/>
              <w:bottom w:val="single" w:sz="4" w:space="0" w:color="auto"/>
              <w:right w:val="single" w:sz="4" w:space="0" w:color="auto"/>
            </w:tcBorders>
            <w:shd w:val="clear" w:color="000000" w:fill="FF0000"/>
            <w:vAlign w:val="bottom"/>
            <w:hideMark/>
          </w:tcPr>
          <w:p w:rsidR="00BA43E0" w:rsidRPr="00BA43E0" w:rsidRDefault="00BA43E0" w:rsidP="00BA43E0">
            <w:pPr>
              <w:spacing w:after="0" w:line="240" w:lineRule="auto"/>
              <w:jc w:val="right"/>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16</w:t>
            </w:r>
          </w:p>
        </w:tc>
      </w:tr>
      <w:tr w:rsidR="00BA43E0" w:rsidRPr="00BA43E0" w:rsidTr="00337EFC">
        <w:trPr>
          <w:trHeight w:val="402"/>
        </w:trPr>
        <w:tc>
          <w:tcPr>
            <w:tcW w:w="2800" w:type="dxa"/>
            <w:tcBorders>
              <w:top w:val="nil"/>
              <w:left w:val="single" w:sz="4" w:space="0" w:color="auto"/>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Reefs [1170]</w:t>
            </w:r>
          </w:p>
        </w:tc>
        <w:tc>
          <w:tcPr>
            <w:tcW w:w="252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Sheltered subtidal reef community complex</w:t>
            </w:r>
          </w:p>
        </w:tc>
        <w:tc>
          <w:tcPr>
            <w:tcW w:w="134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Reef</w:t>
            </w:r>
          </w:p>
        </w:tc>
        <w:tc>
          <w:tcPr>
            <w:tcW w:w="58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 </w:t>
            </w:r>
          </w:p>
        </w:tc>
        <w:tc>
          <w:tcPr>
            <w:tcW w:w="58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 </w:t>
            </w:r>
          </w:p>
        </w:tc>
        <w:tc>
          <w:tcPr>
            <w:tcW w:w="58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 </w:t>
            </w:r>
          </w:p>
        </w:tc>
        <w:tc>
          <w:tcPr>
            <w:tcW w:w="58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 </w:t>
            </w:r>
          </w:p>
        </w:tc>
      </w:tr>
      <w:tr w:rsidR="00BA43E0" w:rsidRPr="00BA43E0" w:rsidTr="00337EFC">
        <w:trPr>
          <w:trHeight w:val="409"/>
        </w:trPr>
        <w:tc>
          <w:tcPr>
            <w:tcW w:w="2800" w:type="dxa"/>
            <w:tcBorders>
              <w:top w:val="nil"/>
              <w:left w:val="single" w:sz="4" w:space="0" w:color="auto"/>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Reefs [1170]</w:t>
            </w:r>
          </w:p>
        </w:tc>
        <w:tc>
          <w:tcPr>
            <w:tcW w:w="252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Laminaria-dominated community complex</w:t>
            </w:r>
          </w:p>
        </w:tc>
        <w:tc>
          <w:tcPr>
            <w:tcW w:w="134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Kelp</w:t>
            </w:r>
          </w:p>
        </w:tc>
        <w:tc>
          <w:tcPr>
            <w:tcW w:w="580"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BA43E0" w:rsidRPr="00BA43E0" w:rsidRDefault="00BA43E0" w:rsidP="00BA43E0">
            <w:pPr>
              <w:spacing w:after="0" w:line="240" w:lineRule="auto"/>
              <w:jc w:val="right"/>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9</w:t>
            </w:r>
          </w:p>
        </w:tc>
        <w:tc>
          <w:tcPr>
            <w:tcW w:w="580"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BA43E0" w:rsidRPr="00BA43E0" w:rsidRDefault="00BA43E0" w:rsidP="00BA43E0">
            <w:pPr>
              <w:spacing w:after="0" w:line="240" w:lineRule="auto"/>
              <w:jc w:val="right"/>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9</w:t>
            </w:r>
          </w:p>
        </w:tc>
        <w:tc>
          <w:tcPr>
            <w:tcW w:w="580" w:type="dxa"/>
            <w:tcBorders>
              <w:top w:val="single" w:sz="4" w:space="0" w:color="auto"/>
              <w:left w:val="single" w:sz="4" w:space="0" w:color="auto"/>
              <w:bottom w:val="single" w:sz="4" w:space="0" w:color="auto"/>
              <w:right w:val="single" w:sz="4" w:space="0" w:color="auto"/>
            </w:tcBorders>
            <w:shd w:val="clear" w:color="000000" w:fill="FF0000"/>
            <w:vAlign w:val="bottom"/>
            <w:hideMark/>
          </w:tcPr>
          <w:p w:rsidR="00BA43E0" w:rsidRPr="00BA43E0" w:rsidRDefault="00BA43E0" w:rsidP="00BA43E0">
            <w:pPr>
              <w:spacing w:after="0" w:line="240" w:lineRule="auto"/>
              <w:jc w:val="right"/>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16</w:t>
            </w:r>
          </w:p>
        </w:tc>
        <w:tc>
          <w:tcPr>
            <w:tcW w:w="580" w:type="dxa"/>
            <w:tcBorders>
              <w:top w:val="nil"/>
              <w:left w:val="nil"/>
              <w:bottom w:val="single" w:sz="4" w:space="0" w:color="auto"/>
              <w:right w:val="single" w:sz="4" w:space="0" w:color="auto"/>
            </w:tcBorders>
            <w:shd w:val="clear" w:color="000000" w:fill="FFFFFF"/>
            <w:vAlign w:val="bottom"/>
            <w:hideMark/>
          </w:tcPr>
          <w:p w:rsidR="00BA43E0" w:rsidRPr="00BA43E0" w:rsidRDefault="00BA43E0" w:rsidP="00BA43E0">
            <w:pPr>
              <w:spacing w:after="0" w:line="240" w:lineRule="auto"/>
              <w:rPr>
                <w:rFonts w:ascii="Calibri" w:eastAsia="Times New Roman" w:hAnsi="Calibri" w:cs="Times New Roman"/>
                <w:color w:val="000000"/>
                <w:sz w:val="16"/>
                <w:szCs w:val="16"/>
                <w:lang w:eastAsia="en-IE"/>
              </w:rPr>
            </w:pPr>
            <w:r w:rsidRPr="00BA43E0">
              <w:rPr>
                <w:rFonts w:ascii="Calibri" w:eastAsia="Times New Roman" w:hAnsi="Calibri" w:cs="Times New Roman"/>
                <w:color w:val="000000"/>
                <w:sz w:val="16"/>
                <w:szCs w:val="16"/>
                <w:lang w:eastAsia="en-IE"/>
              </w:rPr>
              <w:t> </w:t>
            </w:r>
          </w:p>
        </w:tc>
      </w:tr>
    </w:tbl>
    <w:p w:rsidR="00BA43E0" w:rsidRDefault="00BA43E0" w:rsidP="004E1C03">
      <w:pPr>
        <w:sectPr w:rsidR="00BA43E0" w:rsidSect="00BA43E0">
          <w:pgSz w:w="11906" w:h="16838"/>
          <w:pgMar w:top="1440" w:right="1440" w:bottom="1440" w:left="1440" w:header="708" w:footer="708" w:gutter="0"/>
          <w:cols w:space="708"/>
          <w:docGrid w:linePitch="360"/>
        </w:sectPr>
      </w:pPr>
    </w:p>
    <w:p w:rsidR="00BA43E0" w:rsidRDefault="00337EFC" w:rsidP="00337EFC">
      <w:pPr>
        <w:pStyle w:val="Heading1"/>
      </w:pPr>
      <w:r>
        <w:lastRenderedPageBreak/>
        <w:t>Annex II Consultation process during development of this mitigation plan</w:t>
      </w:r>
    </w:p>
    <w:p w:rsidR="00337EFC" w:rsidRDefault="00337EFC" w:rsidP="004E1C03"/>
    <w:p w:rsidR="00337EFC" w:rsidRDefault="00337EFC" w:rsidP="00D548F2">
      <w:pPr>
        <w:pStyle w:val="ListParagraph"/>
        <w:numPr>
          <w:ilvl w:val="0"/>
          <w:numId w:val="6"/>
        </w:numPr>
      </w:pPr>
      <w:r>
        <w:t>The following attended a meeting in the Broadhaven Bay Hotel, Belmullet, June 2</w:t>
      </w:r>
      <w:r w:rsidRPr="00D548F2">
        <w:rPr>
          <w:vertAlign w:val="superscript"/>
        </w:rPr>
        <w:t>nd</w:t>
      </w:r>
      <w:r>
        <w:t xml:space="preserve"> </w:t>
      </w:r>
    </w:p>
    <w:p w:rsidR="00337EFC" w:rsidRDefault="00337EFC" w:rsidP="00337EFC">
      <w:pPr>
        <w:spacing w:after="0" w:line="240" w:lineRule="auto"/>
      </w:pPr>
    </w:p>
    <w:p w:rsidR="00337EFC" w:rsidRDefault="00337EFC" w:rsidP="00D548F2">
      <w:pPr>
        <w:spacing w:after="0" w:line="240" w:lineRule="auto"/>
        <w:ind w:left="720"/>
      </w:pPr>
      <w:r>
        <w:t>Oliver Tully MI,</w:t>
      </w:r>
    </w:p>
    <w:p w:rsidR="00337EFC" w:rsidRDefault="00337EFC" w:rsidP="00D548F2">
      <w:pPr>
        <w:spacing w:after="0" w:line="240" w:lineRule="auto"/>
        <w:ind w:left="720"/>
      </w:pPr>
      <w:r>
        <w:t>Ian Lawler BIM,</w:t>
      </w:r>
    </w:p>
    <w:p w:rsidR="00337EFC" w:rsidRDefault="00337EFC" w:rsidP="00D548F2">
      <w:pPr>
        <w:spacing w:after="0" w:line="240" w:lineRule="auto"/>
        <w:ind w:left="720"/>
      </w:pPr>
      <w:r>
        <w:t>John Healy SFPA,</w:t>
      </w:r>
    </w:p>
    <w:p w:rsidR="00337EFC" w:rsidRDefault="00337EFC" w:rsidP="00D548F2">
      <w:pPr>
        <w:spacing w:after="0" w:line="240" w:lineRule="auto"/>
        <w:ind w:left="720"/>
      </w:pPr>
      <w:r>
        <w:t>Tracy McPhelim SFPA,</w:t>
      </w:r>
    </w:p>
    <w:p w:rsidR="00337EFC" w:rsidRDefault="00337EFC" w:rsidP="00D548F2">
      <w:pPr>
        <w:spacing w:after="0" w:line="240" w:lineRule="auto"/>
        <w:ind w:left="720"/>
      </w:pPr>
      <w:r>
        <w:t>Declan Nee BIM,</w:t>
      </w:r>
    </w:p>
    <w:p w:rsidR="00337EFC" w:rsidRDefault="00337EFC" w:rsidP="00D548F2">
      <w:pPr>
        <w:spacing w:after="0" w:line="240" w:lineRule="auto"/>
        <w:ind w:left="720"/>
      </w:pPr>
      <w:r>
        <w:t>Eamon Dixon Chair NWRIFF,</w:t>
      </w:r>
    </w:p>
    <w:p w:rsidR="00337EFC" w:rsidRDefault="00337EFC" w:rsidP="00D548F2">
      <w:pPr>
        <w:spacing w:after="0" w:line="240" w:lineRule="auto"/>
        <w:ind w:left="720"/>
      </w:pPr>
      <w:r>
        <w:t>Ciaran Quinn Vice Chair NWRIFF,</w:t>
      </w:r>
    </w:p>
    <w:p w:rsidR="00337EFC" w:rsidRDefault="00337EFC" w:rsidP="00D548F2">
      <w:pPr>
        <w:spacing w:after="0" w:line="240" w:lineRule="auto"/>
        <w:ind w:left="720"/>
      </w:pPr>
      <w:r>
        <w:t>Mary Gavin Hughes NWRIFF,</w:t>
      </w:r>
    </w:p>
    <w:p w:rsidR="00337EFC" w:rsidRDefault="00337EFC" w:rsidP="00D548F2">
      <w:pPr>
        <w:spacing w:after="0" w:line="240" w:lineRule="auto"/>
        <w:ind w:left="720"/>
      </w:pPr>
      <w:r>
        <w:t>Anthony Irwin NWRIFF,</w:t>
      </w:r>
    </w:p>
    <w:p w:rsidR="00337EFC" w:rsidRDefault="00337EFC" w:rsidP="00D548F2">
      <w:pPr>
        <w:spacing w:after="0" w:line="240" w:lineRule="auto"/>
        <w:ind w:left="720"/>
      </w:pPr>
      <w:r>
        <w:t>David Johnston NWRIFF,</w:t>
      </w:r>
    </w:p>
    <w:p w:rsidR="00337EFC" w:rsidRDefault="00337EFC" w:rsidP="00D548F2">
      <w:pPr>
        <w:spacing w:after="0" w:line="240" w:lineRule="auto"/>
        <w:ind w:left="720"/>
      </w:pPr>
      <w:r>
        <w:t>Pat Mulloy NWRIFF,</w:t>
      </w:r>
    </w:p>
    <w:p w:rsidR="00337EFC" w:rsidRDefault="00337EFC" w:rsidP="00D548F2">
      <w:pPr>
        <w:spacing w:after="0" w:line="240" w:lineRule="auto"/>
        <w:ind w:left="720"/>
      </w:pPr>
      <w:r>
        <w:t>Micheal Kelly NWRIFF,</w:t>
      </w:r>
    </w:p>
    <w:p w:rsidR="00337EFC" w:rsidRDefault="00337EFC" w:rsidP="00D548F2">
      <w:pPr>
        <w:spacing w:after="0" w:line="240" w:lineRule="auto"/>
        <w:ind w:left="720"/>
      </w:pPr>
      <w:r>
        <w:t>David Downes NWRIFF,</w:t>
      </w:r>
    </w:p>
    <w:p w:rsidR="00337EFC" w:rsidRDefault="00337EFC" w:rsidP="00D548F2">
      <w:pPr>
        <w:spacing w:after="0" w:line="240" w:lineRule="auto"/>
        <w:ind w:left="720"/>
      </w:pPr>
      <w:r>
        <w:t>Caden O Donnell NWRIFF,</w:t>
      </w:r>
    </w:p>
    <w:p w:rsidR="00337EFC" w:rsidRDefault="00337EFC" w:rsidP="00D548F2">
      <w:pPr>
        <w:spacing w:after="0" w:line="240" w:lineRule="auto"/>
        <w:ind w:left="720"/>
      </w:pPr>
      <w:r>
        <w:t>Willaim Walker NWRIFF and scallop Fisher (SF),</w:t>
      </w:r>
    </w:p>
    <w:p w:rsidR="00337EFC" w:rsidRDefault="00337EFC" w:rsidP="00D548F2">
      <w:pPr>
        <w:spacing w:after="0" w:line="240" w:lineRule="auto"/>
        <w:ind w:left="720"/>
      </w:pPr>
      <w:r>
        <w:t>Pat Walker (SF),</w:t>
      </w:r>
    </w:p>
    <w:p w:rsidR="00337EFC" w:rsidRDefault="00337EFC" w:rsidP="00D548F2">
      <w:pPr>
        <w:spacing w:after="0" w:line="240" w:lineRule="auto"/>
        <w:ind w:left="720"/>
      </w:pPr>
      <w:r>
        <w:t>Joe Walker (SF),</w:t>
      </w:r>
    </w:p>
    <w:p w:rsidR="00337EFC" w:rsidRDefault="00337EFC" w:rsidP="00D548F2">
      <w:pPr>
        <w:spacing w:after="0" w:line="240" w:lineRule="auto"/>
        <w:ind w:left="720"/>
      </w:pPr>
      <w:r>
        <w:t>P J Walker(SF),</w:t>
      </w:r>
    </w:p>
    <w:p w:rsidR="00337EFC" w:rsidRDefault="00337EFC" w:rsidP="00D548F2">
      <w:pPr>
        <w:spacing w:after="0" w:line="240" w:lineRule="auto"/>
        <w:ind w:left="720"/>
      </w:pPr>
      <w:r>
        <w:t>Micheal Walker (SF),</w:t>
      </w:r>
    </w:p>
    <w:p w:rsidR="00337EFC" w:rsidRDefault="00337EFC" w:rsidP="00D548F2">
      <w:pPr>
        <w:spacing w:after="0" w:line="240" w:lineRule="auto"/>
        <w:ind w:left="720"/>
      </w:pPr>
      <w:r>
        <w:t>Martin Murphy (SF),</w:t>
      </w:r>
    </w:p>
    <w:p w:rsidR="00337EFC" w:rsidRDefault="00337EFC" w:rsidP="00D548F2">
      <w:pPr>
        <w:spacing w:after="0" w:line="240" w:lineRule="auto"/>
        <w:ind w:left="720"/>
      </w:pPr>
      <w:r>
        <w:t>John Murphy (SF),</w:t>
      </w:r>
    </w:p>
    <w:p w:rsidR="00337EFC" w:rsidRDefault="00337EFC" w:rsidP="00D548F2">
      <w:pPr>
        <w:spacing w:after="0" w:line="240" w:lineRule="auto"/>
        <w:ind w:left="720"/>
      </w:pPr>
      <w:r>
        <w:t>Charles O Malley Clare Is(SF)</w:t>
      </w:r>
    </w:p>
    <w:p w:rsidR="00337EFC" w:rsidRDefault="00337EFC" w:rsidP="00D548F2">
      <w:pPr>
        <w:spacing w:after="0" w:line="240" w:lineRule="auto"/>
        <w:ind w:left="720"/>
      </w:pPr>
      <w:r>
        <w:t>Charles O Malley Achill (SF),</w:t>
      </w:r>
      <w:bookmarkStart w:id="5" w:name="_GoBack"/>
      <w:bookmarkEnd w:id="5"/>
      <w:r>
        <w:t xml:space="preserve"> </w:t>
      </w:r>
    </w:p>
    <w:p w:rsidR="00337EFC" w:rsidRDefault="00337EFC" w:rsidP="00D548F2">
      <w:pPr>
        <w:spacing w:after="0" w:line="240" w:lineRule="auto"/>
        <w:ind w:left="720"/>
      </w:pPr>
      <w:r>
        <w:t>John Johnston,</w:t>
      </w:r>
    </w:p>
    <w:p w:rsidR="00337EFC" w:rsidRDefault="00337EFC" w:rsidP="00D548F2">
      <w:pPr>
        <w:spacing w:after="0" w:line="240" w:lineRule="auto"/>
        <w:ind w:left="720"/>
      </w:pPr>
      <w:r>
        <w:t>Patrick Deane (SF),</w:t>
      </w:r>
    </w:p>
    <w:p w:rsidR="00337EFC" w:rsidRDefault="00337EFC" w:rsidP="00D548F2">
      <w:pPr>
        <w:spacing w:after="0" w:line="240" w:lineRule="auto"/>
        <w:ind w:left="720"/>
      </w:pPr>
      <w:r>
        <w:t>Brian Patten (SF),</w:t>
      </w:r>
    </w:p>
    <w:p w:rsidR="00337EFC" w:rsidRDefault="00337EFC" w:rsidP="00D548F2">
      <w:pPr>
        <w:spacing w:after="0" w:line="240" w:lineRule="auto"/>
        <w:ind w:left="720"/>
      </w:pPr>
      <w:r>
        <w:t>Brian O Malley Belmullet Oyster Co-op,</w:t>
      </w:r>
    </w:p>
    <w:p w:rsidR="00337EFC" w:rsidRDefault="00337EFC" w:rsidP="00D548F2">
      <w:pPr>
        <w:spacing w:after="0" w:line="240" w:lineRule="auto"/>
        <w:ind w:left="720"/>
      </w:pPr>
      <w:r>
        <w:t>Eddie O Toole Belmullet Oyster Co-op.</w:t>
      </w:r>
    </w:p>
    <w:p w:rsidR="00337EFC" w:rsidRDefault="00337EFC" w:rsidP="00337EFC">
      <w:pPr>
        <w:spacing w:after="0" w:line="240" w:lineRule="auto"/>
      </w:pPr>
    </w:p>
    <w:p w:rsidR="00337EFC" w:rsidRDefault="00D548F2" w:rsidP="00D548F2">
      <w:pPr>
        <w:pStyle w:val="ListParagraph"/>
        <w:numPr>
          <w:ilvl w:val="0"/>
          <w:numId w:val="5"/>
        </w:numPr>
        <w:spacing w:after="0" w:line="240" w:lineRule="auto"/>
      </w:pPr>
      <w:r>
        <w:t>Draft 1</w:t>
      </w:r>
      <w:r w:rsidR="00337EFC">
        <w:t xml:space="preserve"> was distributed by the Marine Institute to BIM and NWRIFF on June 4</w:t>
      </w:r>
      <w:r w:rsidR="00337EFC" w:rsidRPr="00D548F2">
        <w:rPr>
          <w:vertAlign w:val="superscript"/>
        </w:rPr>
        <w:t>th</w:t>
      </w:r>
      <w:r w:rsidR="00337EFC">
        <w:t xml:space="preserve"> .</w:t>
      </w:r>
    </w:p>
    <w:p w:rsidR="00D548F2" w:rsidRDefault="00D548F2" w:rsidP="00D548F2">
      <w:pPr>
        <w:pStyle w:val="ListParagraph"/>
        <w:numPr>
          <w:ilvl w:val="0"/>
          <w:numId w:val="5"/>
        </w:numPr>
        <w:spacing w:after="0" w:line="240" w:lineRule="auto"/>
      </w:pPr>
      <w:r>
        <w:t>Discussions between William Walker and Marine Institute led to change in the scallop fishing area to include areas west of the Serpulid reef</w:t>
      </w:r>
    </w:p>
    <w:p w:rsidR="00D548F2" w:rsidRDefault="00D548F2" w:rsidP="00D548F2">
      <w:pPr>
        <w:pStyle w:val="ListParagraph"/>
        <w:numPr>
          <w:ilvl w:val="0"/>
          <w:numId w:val="5"/>
        </w:numPr>
        <w:spacing w:after="0" w:line="240" w:lineRule="auto"/>
      </w:pPr>
      <w:r>
        <w:t>Draft 2 distributed June 5</w:t>
      </w:r>
      <w:r w:rsidRPr="00D548F2">
        <w:rPr>
          <w:vertAlign w:val="superscript"/>
        </w:rPr>
        <w:t>th</w:t>
      </w:r>
    </w:p>
    <w:p w:rsidR="00D548F2" w:rsidRDefault="00D548F2" w:rsidP="00D548F2">
      <w:pPr>
        <w:pStyle w:val="ListParagraph"/>
        <w:numPr>
          <w:ilvl w:val="0"/>
          <w:numId w:val="5"/>
        </w:numPr>
        <w:spacing w:after="0" w:line="240" w:lineRule="auto"/>
      </w:pPr>
      <w:r>
        <w:t xml:space="preserve">Draft 2 subject of discussions at </w:t>
      </w:r>
    </w:p>
    <w:p w:rsidR="00D548F2" w:rsidRDefault="00D548F2" w:rsidP="00D548F2">
      <w:pPr>
        <w:pStyle w:val="ListParagraph"/>
        <w:numPr>
          <w:ilvl w:val="1"/>
          <w:numId w:val="5"/>
        </w:numPr>
        <w:spacing w:after="0" w:line="240" w:lineRule="auto"/>
      </w:pPr>
      <w:r>
        <w:t>Meeting of NWRIFF June 11</w:t>
      </w:r>
      <w:r w:rsidRPr="00D548F2">
        <w:rPr>
          <w:vertAlign w:val="superscript"/>
        </w:rPr>
        <w:t>th</w:t>
      </w:r>
      <w:r>
        <w:t xml:space="preserve"> (Declan Nee attended and distributed minutes)</w:t>
      </w:r>
    </w:p>
    <w:p w:rsidR="00D548F2" w:rsidRDefault="00D548F2" w:rsidP="00D548F2">
      <w:pPr>
        <w:pStyle w:val="ListParagraph"/>
        <w:numPr>
          <w:ilvl w:val="1"/>
          <w:numId w:val="5"/>
        </w:numPr>
        <w:spacing w:after="0" w:line="240" w:lineRule="auto"/>
      </w:pPr>
      <w:r>
        <w:t>Erris Inshore group June 13</w:t>
      </w:r>
      <w:r w:rsidRPr="00D548F2">
        <w:rPr>
          <w:vertAlign w:val="superscript"/>
        </w:rPr>
        <w:t>th</w:t>
      </w:r>
      <w:r>
        <w:t xml:space="preserve"> </w:t>
      </w:r>
    </w:p>
    <w:p w:rsidR="00D548F2" w:rsidRDefault="00D548F2" w:rsidP="00D548F2">
      <w:pPr>
        <w:pStyle w:val="ListParagraph"/>
        <w:numPr>
          <w:ilvl w:val="0"/>
          <w:numId w:val="5"/>
        </w:numPr>
        <w:spacing w:after="0" w:line="240" w:lineRule="auto"/>
      </w:pPr>
      <w:r>
        <w:t>Discussions June 15</w:t>
      </w:r>
      <w:r w:rsidRPr="00D548F2">
        <w:rPr>
          <w:vertAlign w:val="superscript"/>
        </w:rPr>
        <w:t>th</w:t>
      </w:r>
      <w:r>
        <w:t xml:space="preserve"> between MI and DAFM on overlap of fishable area with Aquaculture licences or applications</w:t>
      </w:r>
    </w:p>
    <w:p w:rsidR="00D548F2" w:rsidRDefault="00D548F2" w:rsidP="00D548F2">
      <w:pPr>
        <w:pStyle w:val="ListParagraph"/>
        <w:spacing w:after="0" w:line="240" w:lineRule="auto"/>
      </w:pPr>
    </w:p>
    <w:p w:rsidR="00D548F2" w:rsidRDefault="00D548F2" w:rsidP="00337EFC">
      <w:pPr>
        <w:spacing w:after="0" w:line="240" w:lineRule="auto"/>
      </w:pPr>
    </w:p>
    <w:p w:rsidR="00D548F2" w:rsidRPr="004E1C03" w:rsidRDefault="00D548F2" w:rsidP="00337EFC">
      <w:pPr>
        <w:spacing w:after="0" w:line="240" w:lineRule="auto"/>
      </w:pPr>
    </w:p>
    <w:sectPr w:rsidR="00D548F2" w:rsidRPr="004E1C03" w:rsidSect="00281F2C">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0A39" w:rsidRDefault="00640A39" w:rsidP="00CB62FC">
      <w:pPr>
        <w:spacing w:after="0" w:line="240" w:lineRule="auto"/>
      </w:pPr>
      <w:r>
        <w:separator/>
      </w:r>
    </w:p>
  </w:endnote>
  <w:endnote w:type="continuationSeparator" w:id="0">
    <w:p w:rsidR="00640A39" w:rsidRDefault="00640A39" w:rsidP="00CB62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964249"/>
      <w:docPartObj>
        <w:docPartGallery w:val="Page Numbers (Bottom of Page)"/>
        <w:docPartUnique/>
      </w:docPartObj>
    </w:sdtPr>
    <w:sdtContent>
      <w:p w:rsidR="00D548F2" w:rsidRDefault="00653AFD">
        <w:pPr>
          <w:pStyle w:val="Footer"/>
          <w:jc w:val="right"/>
        </w:pPr>
        <w:fldSimple w:instr=" PAGE   \* MERGEFORMAT ">
          <w:r w:rsidR="00786A7E">
            <w:rPr>
              <w:noProof/>
            </w:rPr>
            <w:t>1</w:t>
          </w:r>
        </w:fldSimple>
      </w:p>
    </w:sdtContent>
  </w:sdt>
  <w:p w:rsidR="00D548F2" w:rsidRDefault="00D548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0A39" w:rsidRDefault="00640A39" w:rsidP="00CB62FC">
      <w:pPr>
        <w:spacing w:after="0" w:line="240" w:lineRule="auto"/>
      </w:pPr>
      <w:r>
        <w:separator/>
      </w:r>
    </w:p>
  </w:footnote>
  <w:footnote w:type="continuationSeparator" w:id="0">
    <w:p w:rsidR="00640A39" w:rsidRDefault="00640A39" w:rsidP="00CB62F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0B452B"/>
    <w:multiLevelType w:val="hybridMultilevel"/>
    <w:tmpl w:val="A726C844"/>
    <w:lvl w:ilvl="0" w:tplc="18090019">
      <w:start w:val="1"/>
      <w:numFmt w:val="lowerLetter"/>
      <w:lvlText w:val="%1."/>
      <w:lvlJc w:val="left"/>
      <w:pPr>
        <w:ind w:left="1800" w:hanging="360"/>
      </w:p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1">
    <w:nsid w:val="3D9E0861"/>
    <w:multiLevelType w:val="hybridMultilevel"/>
    <w:tmpl w:val="68B2E968"/>
    <w:lvl w:ilvl="0" w:tplc="6194CF26">
      <w:numFmt w:val="bullet"/>
      <w:lvlText w:val="-"/>
      <w:lvlJc w:val="left"/>
      <w:pPr>
        <w:ind w:left="720" w:hanging="360"/>
      </w:pPr>
      <w:rPr>
        <w:rFonts w:ascii="Calibri" w:eastAsiaTheme="minorHAnsi" w:hAnsi="Calibri" w:cstheme="minorBidi"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4AB55171"/>
    <w:multiLevelType w:val="hybridMultilevel"/>
    <w:tmpl w:val="2B5A612A"/>
    <w:lvl w:ilvl="0" w:tplc="1809000F">
      <w:start w:val="1"/>
      <w:numFmt w:val="decimal"/>
      <w:lvlText w:val="%1."/>
      <w:lvlJc w:val="left"/>
      <w:pPr>
        <w:ind w:left="2160" w:hanging="360"/>
      </w:pPr>
    </w:lvl>
    <w:lvl w:ilvl="1" w:tplc="18090019" w:tentative="1">
      <w:start w:val="1"/>
      <w:numFmt w:val="lowerLetter"/>
      <w:lvlText w:val="%2."/>
      <w:lvlJc w:val="left"/>
      <w:pPr>
        <w:ind w:left="2880" w:hanging="360"/>
      </w:pPr>
    </w:lvl>
    <w:lvl w:ilvl="2" w:tplc="1809001B" w:tentative="1">
      <w:start w:val="1"/>
      <w:numFmt w:val="lowerRoman"/>
      <w:lvlText w:val="%3."/>
      <w:lvlJc w:val="right"/>
      <w:pPr>
        <w:ind w:left="3600" w:hanging="180"/>
      </w:pPr>
    </w:lvl>
    <w:lvl w:ilvl="3" w:tplc="1809000F" w:tentative="1">
      <w:start w:val="1"/>
      <w:numFmt w:val="decimal"/>
      <w:lvlText w:val="%4."/>
      <w:lvlJc w:val="left"/>
      <w:pPr>
        <w:ind w:left="4320" w:hanging="360"/>
      </w:pPr>
    </w:lvl>
    <w:lvl w:ilvl="4" w:tplc="18090019" w:tentative="1">
      <w:start w:val="1"/>
      <w:numFmt w:val="lowerLetter"/>
      <w:lvlText w:val="%5."/>
      <w:lvlJc w:val="left"/>
      <w:pPr>
        <w:ind w:left="5040" w:hanging="360"/>
      </w:pPr>
    </w:lvl>
    <w:lvl w:ilvl="5" w:tplc="1809001B" w:tentative="1">
      <w:start w:val="1"/>
      <w:numFmt w:val="lowerRoman"/>
      <w:lvlText w:val="%6."/>
      <w:lvlJc w:val="right"/>
      <w:pPr>
        <w:ind w:left="5760" w:hanging="180"/>
      </w:pPr>
    </w:lvl>
    <w:lvl w:ilvl="6" w:tplc="1809000F" w:tentative="1">
      <w:start w:val="1"/>
      <w:numFmt w:val="decimal"/>
      <w:lvlText w:val="%7."/>
      <w:lvlJc w:val="left"/>
      <w:pPr>
        <w:ind w:left="6480" w:hanging="360"/>
      </w:pPr>
    </w:lvl>
    <w:lvl w:ilvl="7" w:tplc="18090019" w:tentative="1">
      <w:start w:val="1"/>
      <w:numFmt w:val="lowerLetter"/>
      <w:lvlText w:val="%8."/>
      <w:lvlJc w:val="left"/>
      <w:pPr>
        <w:ind w:left="7200" w:hanging="360"/>
      </w:pPr>
    </w:lvl>
    <w:lvl w:ilvl="8" w:tplc="1809001B" w:tentative="1">
      <w:start w:val="1"/>
      <w:numFmt w:val="lowerRoman"/>
      <w:lvlText w:val="%9."/>
      <w:lvlJc w:val="right"/>
      <w:pPr>
        <w:ind w:left="7920" w:hanging="180"/>
      </w:pPr>
    </w:lvl>
  </w:abstractNum>
  <w:abstractNum w:abstractNumId="3">
    <w:nsid w:val="4EB13014"/>
    <w:multiLevelType w:val="hybridMultilevel"/>
    <w:tmpl w:val="70143DB8"/>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4">
    <w:nsid w:val="5F1A2B79"/>
    <w:multiLevelType w:val="hybridMultilevel"/>
    <w:tmpl w:val="332450F0"/>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608757D5"/>
    <w:multiLevelType w:val="hybridMultilevel"/>
    <w:tmpl w:val="84925E9C"/>
    <w:lvl w:ilvl="0" w:tplc="26085EC8">
      <w:start w:val="1"/>
      <w:numFmt w:val="bullet"/>
      <w:lvlText w:val=""/>
      <w:lvlJc w:val="left"/>
      <w:pPr>
        <w:ind w:left="811" w:hanging="360"/>
      </w:pPr>
      <w:rPr>
        <w:rFonts w:ascii="Symbol" w:hAnsi="Symbol" w:hint="default"/>
      </w:rPr>
    </w:lvl>
    <w:lvl w:ilvl="1" w:tplc="18090003" w:tentative="1">
      <w:start w:val="1"/>
      <w:numFmt w:val="bullet"/>
      <w:lvlText w:val="o"/>
      <w:lvlJc w:val="left"/>
      <w:pPr>
        <w:ind w:left="1531" w:hanging="360"/>
      </w:pPr>
      <w:rPr>
        <w:rFonts w:ascii="Courier New" w:hAnsi="Courier New" w:cs="Courier New" w:hint="default"/>
      </w:rPr>
    </w:lvl>
    <w:lvl w:ilvl="2" w:tplc="18090005" w:tentative="1">
      <w:start w:val="1"/>
      <w:numFmt w:val="bullet"/>
      <w:lvlText w:val=""/>
      <w:lvlJc w:val="left"/>
      <w:pPr>
        <w:ind w:left="2251" w:hanging="360"/>
      </w:pPr>
      <w:rPr>
        <w:rFonts w:ascii="Wingdings" w:hAnsi="Wingdings" w:hint="default"/>
      </w:rPr>
    </w:lvl>
    <w:lvl w:ilvl="3" w:tplc="18090001" w:tentative="1">
      <w:start w:val="1"/>
      <w:numFmt w:val="bullet"/>
      <w:lvlText w:val=""/>
      <w:lvlJc w:val="left"/>
      <w:pPr>
        <w:ind w:left="2971" w:hanging="360"/>
      </w:pPr>
      <w:rPr>
        <w:rFonts w:ascii="Symbol" w:hAnsi="Symbol" w:hint="default"/>
      </w:rPr>
    </w:lvl>
    <w:lvl w:ilvl="4" w:tplc="18090003" w:tentative="1">
      <w:start w:val="1"/>
      <w:numFmt w:val="bullet"/>
      <w:lvlText w:val="o"/>
      <w:lvlJc w:val="left"/>
      <w:pPr>
        <w:ind w:left="3691" w:hanging="360"/>
      </w:pPr>
      <w:rPr>
        <w:rFonts w:ascii="Courier New" w:hAnsi="Courier New" w:cs="Courier New" w:hint="default"/>
      </w:rPr>
    </w:lvl>
    <w:lvl w:ilvl="5" w:tplc="18090005" w:tentative="1">
      <w:start w:val="1"/>
      <w:numFmt w:val="bullet"/>
      <w:lvlText w:val=""/>
      <w:lvlJc w:val="left"/>
      <w:pPr>
        <w:ind w:left="4411" w:hanging="360"/>
      </w:pPr>
      <w:rPr>
        <w:rFonts w:ascii="Wingdings" w:hAnsi="Wingdings" w:hint="default"/>
      </w:rPr>
    </w:lvl>
    <w:lvl w:ilvl="6" w:tplc="18090001" w:tentative="1">
      <w:start w:val="1"/>
      <w:numFmt w:val="bullet"/>
      <w:lvlText w:val=""/>
      <w:lvlJc w:val="left"/>
      <w:pPr>
        <w:ind w:left="5131" w:hanging="360"/>
      </w:pPr>
      <w:rPr>
        <w:rFonts w:ascii="Symbol" w:hAnsi="Symbol" w:hint="default"/>
      </w:rPr>
    </w:lvl>
    <w:lvl w:ilvl="7" w:tplc="18090003" w:tentative="1">
      <w:start w:val="1"/>
      <w:numFmt w:val="bullet"/>
      <w:lvlText w:val="o"/>
      <w:lvlJc w:val="left"/>
      <w:pPr>
        <w:ind w:left="5851" w:hanging="360"/>
      </w:pPr>
      <w:rPr>
        <w:rFonts w:ascii="Courier New" w:hAnsi="Courier New" w:cs="Courier New" w:hint="default"/>
      </w:rPr>
    </w:lvl>
    <w:lvl w:ilvl="8" w:tplc="18090005" w:tentative="1">
      <w:start w:val="1"/>
      <w:numFmt w:val="bullet"/>
      <w:lvlText w:val=""/>
      <w:lvlJc w:val="left"/>
      <w:pPr>
        <w:ind w:left="6571" w:hanging="360"/>
      </w:pPr>
      <w:rPr>
        <w:rFonts w:ascii="Wingdings" w:hAnsi="Wingdings" w:hint="default"/>
      </w:rPr>
    </w:lvl>
  </w:abstractNum>
  <w:abstractNum w:abstractNumId="6">
    <w:nsid w:val="652E5D31"/>
    <w:multiLevelType w:val="hybridMultilevel"/>
    <w:tmpl w:val="F3545F44"/>
    <w:lvl w:ilvl="0" w:tplc="26085EC8">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7CD552BC"/>
    <w:multiLevelType w:val="hybridMultilevel"/>
    <w:tmpl w:val="8802377A"/>
    <w:lvl w:ilvl="0" w:tplc="6194CF26">
      <w:numFmt w:val="bullet"/>
      <w:lvlText w:val="-"/>
      <w:lvlJc w:val="left"/>
      <w:pPr>
        <w:ind w:left="720"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3"/>
  </w:num>
  <w:num w:numId="5">
    <w:abstractNumId w:val="1"/>
  </w:num>
  <w:num w:numId="6">
    <w:abstractNumId w:val="7"/>
  </w:num>
  <w:num w:numId="7">
    <w:abstractNumId w:val="2"/>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67335B"/>
    <w:rsid w:val="00065627"/>
    <w:rsid w:val="000D1B71"/>
    <w:rsid w:val="001401D8"/>
    <w:rsid w:val="00180E0E"/>
    <w:rsid w:val="0019359B"/>
    <w:rsid w:val="001B59A2"/>
    <w:rsid w:val="001D4919"/>
    <w:rsid w:val="0021026E"/>
    <w:rsid w:val="00242CF3"/>
    <w:rsid w:val="00281D55"/>
    <w:rsid w:val="00281F2C"/>
    <w:rsid w:val="00294339"/>
    <w:rsid w:val="00337EFC"/>
    <w:rsid w:val="003476B0"/>
    <w:rsid w:val="003D6651"/>
    <w:rsid w:val="003E110E"/>
    <w:rsid w:val="00480CD3"/>
    <w:rsid w:val="004E1C03"/>
    <w:rsid w:val="004F49A6"/>
    <w:rsid w:val="00503CCA"/>
    <w:rsid w:val="0059191B"/>
    <w:rsid w:val="005C29A0"/>
    <w:rsid w:val="005F1ABA"/>
    <w:rsid w:val="00640A39"/>
    <w:rsid w:val="00653AFD"/>
    <w:rsid w:val="00655EE2"/>
    <w:rsid w:val="0067335B"/>
    <w:rsid w:val="007268C6"/>
    <w:rsid w:val="00786A7E"/>
    <w:rsid w:val="00793BEF"/>
    <w:rsid w:val="007A334E"/>
    <w:rsid w:val="007B11E7"/>
    <w:rsid w:val="008B1202"/>
    <w:rsid w:val="008F72C6"/>
    <w:rsid w:val="00907B09"/>
    <w:rsid w:val="009D6B9A"/>
    <w:rsid w:val="00A50264"/>
    <w:rsid w:val="00BA43E0"/>
    <w:rsid w:val="00BE2696"/>
    <w:rsid w:val="00BE663E"/>
    <w:rsid w:val="00BE70A8"/>
    <w:rsid w:val="00C63700"/>
    <w:rsid w:val="00C85F09"/>
    <w:rsid w:val="00CB62FC"/>
    <w:rsid w:val="00CF7C71"/>
    <w:rsid w:val="00D548F2"/>
    <w:rsid w:val="00D836C3"/>
    <w:rsid w:val="00E02BC8"/>
    <w:rsid w:val="00EF7C58"/>
    <w:rsid w:val="00FB0F7C"/>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35B"/>
  </w:style>
  <w:style w:type="paragraph" w:styleId="Heading1">
    <w:name w:val="heading 1"/>
    <w:basedOn w:val="Normal"/>
    <w:next w:val="Normal"/>
    <w:link w:val="Heading1Char"/>
    <w:uiPriority w:val="9"/>
    <w:qFormat/>
    <w:rsid w:val="006733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7335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335B"/>
    <w:rPr>
      <w:rFonts w:asciiTheme="majorHAnsi" w:eastAsiaTheme="majorEastAsia" w:hAnsiTheme="majorHAnsi" w:cstheme="majorBidi"/>
      <w:b/>
      <w:bCs/>
      <w:color w:val="365F91" w:themeColor="accent1" w:themeShade="BF"/>
      <w:sz w:val="28"/>
      <w:szCs w:val="28"/>
    </w:rPr>
  </w:style>
  <w:style w:type="character" w:styleId="BookTitle">
    <w:name w:val="Book Title"/>
    <w:basedOn w:val="DefaultParagraphFont"/>
    <w:uiPriority w:val="33"/>
    <w:qFormat/>
    <w:rsid w:val="0067335B"/>
    <w:rPr>
      <w:b/>
      <w:bCs/>
      <w:smallCaps/>
      <w:spacing w:val="5"/>
    </w:rPr>
  </w:style>
  <w:style w:type="character" w:customStyle="1" w:styleId="Heading2Char">
    <w:name w:val="Heading 2 Char"/>
    <w:basedOn w:val="DefaultParagraphFont"/>
    <w:link w:val="Heading2"/>
    <w:uiPriority w:val="9"/>
    <w:rsid w:val="006733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3D6651"/>
    <w:pPr>
      <w:spacing w:after="201" w:line="240" w:lineRule="auto"/>
    </w:pPr>
    <w:rPr>
      <w:rFonts w:ascii="Times New Roman" w:eastAsia="Times New Roman" w:hAnsi="Times New Roman" w:cs="Times New Roman"/>
      <w:sz w:val="24"/>
      <w:szCs w:val="24"/>
      <w:lang w:eastAsia="en-IE"/>
    </w:rPr>
  </w:style>
  <w:style w:type="paragraph" w:styleId="ListParagraph">
    <w:name w:val="List Paragraph"/>
    <w:basedOn w:val="Normal"/>
    <w:uiPriority w:val="34"/>
    <w:qFormat/>
    <w:rsid w:val="003D6651"/>
    <w:pPr>
      <w:ind w:left="720"/>
      <w:contextualSpacing/>
    </w:pPr>
  </w:style>
  <w:style w:type="paragraph" w:styleId="Caption">
    <w:name w:val="caption"/>
    <w:basedOn w:val="Normal"/>
    <w:next w:val="Normal"/>
    <w:uiPriority w:val="35"/>
    <w:unhideWhenUsed/>
    <w:qFormat/>
    <w:rsid w:val="007B11E7"/>
    <w:pPr>
      <w:spacing w:line="240" w:lineRule="auto"/>
    </w:pPr>
    <w:rPr>
      <w:b/>
      <w:bCs/>
      <w:sz w:val="20"/>
      <w:szCs w:val="18"/>
    </w:rPr>
  </w:style>
  <w:style w:type="paragraph" w:styleId="BalloonText">
    <w:name w:val="Balloon Text"/>
    <w:basedOn w:val="Normal"/>
    <w:link w:val="BalloonTextChar"/>
    <w:uiPriority w:val="99"/>
    <w:semiHidden/>
    <w:unhideWhenUsed/>
    <w:rsid w:val="00180E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E0E"/>
    <w:rPr>
      <w:rFonts w:ascii="Tahoma" w:hAnsi="Tahoma" w:cs="Tahoma"/>
      <w:sz w:val="16"/>
      <w:szCs w:val="16"/>
    </w:rPr>
  </w:style>
  <w:style w:type="paragraph" w:styleId="Header">
    <w:name w:val="header"/>
    <w:basedOn w:val="Normal"/>
    <w:link w:val="HeaderChar"/>
    <w:uiPriority w:val="99"/>
    <w:semiHidden/>
    <w:unhideWhenUsed/>
    <w:rsid w:val="00CB62F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B62FC"/>
  </w:style>
  <w:style w:type="paragraph" w:styleId="Footer">
    <w:name w:val="footer"/>
    <w:basedOn w:val="Normal"/>
    <w:link w:val="FooterChar"/>
    <w:uiPriority w:val="99"/>
    <w:unhideWhenUsed/>
    <w:rsid w:val="00CB62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62FC"/>
  </w:style>
</w:styles>
</file>

<file path=word/webSettings.xml><?xml version="1.0" encoding="utf-8"?>
<w:webSettings xmlns:r="http://schemas.openxmlformats.org/officeDocument/2006/relationships" xmlns:w="http://schemas.openxmlformats.org/wordprocessingml/2006/main">
  <w:divs>
    <w:div w:id="175732373">
      <w:bodyDiv w:val="1"/>
      <w:marLeft w:val="0"/>
      <w:marRight w:val="0"/>
      <w:marTop w:val="0"/>
      <w:marBottom w:val="0"/>
      <w:divBdr>
        <w:top w:val="none" w:sz="0" w:space="0" w:color="auto"/>
        <w:left w:val="none" w:sz="0" w:space="0" w:color="auto"/>
        <w:bottom w:val="none" w:sz="0" w:space="0" w:color="auto"/>
        <w:right w:val="none" w:sz="0" w:space="0" w:color="auto"/>
      </w:divBdr>
    </w:div>
    <w:div w:id="369187033">
      <w:bodyDiv w:val="1"/>
      <w:marLeft w:val="0"/>
      <w:marRight w:val="0"/>
      <w:marTop w:val="0"/>
      <w:marBottom w:val="0"/>
      <w:divBdr>
        <w:top w:val="none" w:sz="0" w:space="0" w:color="auto"/>
        <w:left w:val="none" w:sz="0" w:space="0" w:color="auto"/>
        <w:bottom w:val="none" w:sz="0" w:space="0" w:color="auto"/>
        <w:right w:val="none" w:sz="0" w:space="0" w:color="auto"/>
      </w:divBdr>
    </w:div>
    <w:div w:id="424040517">
      <w:bodyDiv w:val="1"/>
      <w:marLeft w:val="0"/>
      <w:marRight w:val="0"/>
      <w:marTop w:val="0"/>
      <w:marBottom w:val="0"/>
      <w:divBdr>
        <w:top w:val="none" w:sz="0" w:space="0" w:color="auto"/>
        <w:left w:val="none" w:sz="0" w:space="0" w:color="auto"/>
        <w:bottom w:val="none" w:sz="0" w:space="0" w:color="auto"/>
        <w:right w:val="none" w:sz="0" w:space="0" w:color="auto"/>
      </w:divBdr>
    </w:div>
    <w:div w:id="678777844">
      <w:bodyDiv w:val="1"/>
      <w:marLeft w:val="0"/>
      <w:marRight w:val="0"/>
      <w:marTop w:val="0"/>
      <w:marBottom w:val="0"/>
      <w:divBdr>
        <w:top w:val="none" w:sz="0" w:space="0" w:color="auto"/>
        <w:left w:val="none" w:sz="0" w:space="0" w:color="auto"/>
        <w:bottom w:val="none" w:sz="0" w:space="0" w:color="auto"/>
        <w:right w:val="none" w:sz="0" w:space="0" w:color="auto"/>
      </w:divBdr>
      <w:divsChild>
        <w:div w:id="177548465">
          <w:marLeft w:val="0"/>
          <w:marRight w:val="0"/>
          <w:marTop w:val="100"/>
          <w:marBottom w:val="100"/>
          <w:divBdr>
            <w:top w:val="none" w:sz="0" w:space="0" w:color="auto"/>
            <w:left w:val="none" w:sz="0" w:space="0" w:color="auto"/>
            <w:bottom w:val="none" w:sz="0" w:space="0" w:color="auto"/>
            <w:right w:val="none" w:sz="0" w:space="0" w:color="auto"/>
          </w:divBdr>
          <w:divsChild>
            <w:div w:id="1987662250">
              <w:marLeft w:val="0"/>
              <w:marRight w:val="0"/>
              <w:marTop w:val="0"/>
              <w:marBottom w:val="0"/>
              <w:divBdr>
                <w:top w:val="none" w:sz="0" w:space="0" w:color="auto"/>
                <w:left w:val="single" w:sz="6" w:space="0" w:color="C5C3BA"/>
                <w:bottom w:val="none" w:sz="0" w:space="0" w:color="auto"/>
                <w:right w:val="single" w:sz="6" w:space="0" w:color="C5C3BA"/>
              </w:divBdr>
              <w:divsChild>
                <w:div w:id="2009598786">
                  <w:marLeft w:val="0"/>
                  <w:marRight w:val="0"/>
                  <w:marTop w:val="0"/>
                  <w:marBottom w:val="0"/>
                  <w:divBdr>
                    <w:top w:val="none" w:sz="0" w:space="0" w:color="auto"/>
                    <w:left w:val="none" w:sz="0" w:space="0" w:color="auto"/>
                    <w:bottom w:val="none" w:sz="0" w:space="0" w:color="auto"/>
                    <w:right w:val="none" w:sz="0" w:space="0" w:color="auto"/>
                  </w:divBdr>
                  <w:divsChild>
                    <w:div w:id="1795900470">
                      <w:marLeft w:val="201"/>
                      <w:marRight w:val="0"/>
                      <w:marTop w:val="0"/>
                      <w:marBottom w:val="335"/>
                      <w:divBdr>
                        <w:top w:val="none" w:sz="0" w:space="0" w:color="auto"/>
                        <w:left w:val="none" w:sz="0" w:space="0" w:color="auto"/>
                        <w:bottom w:val="none" w:sz="0" w:space="0" w:color="auto"/>
                        <w:right w:val="none" w:sz="0" w:space="0" w:color="auto"/>
                      </w:divBdr>
                      <w:divsChild>
                        <w:div w:id="699821153">
                          <w:marLeft w:val="0"/>
                          <w:marRight w:val="0"/>
                          <w:marTop w:val="0"/>
                          <w:marBottom w:val="0"/>
                          <w:divBdr>
                            <w:top w:val="none" w:sz="0" w:space="0" w:color="auto"/>
                            <w:left w:val="none" w:sz="0" w:space="0" w:color="auto"/>
                            <w:bottom w:val="none" w:sz="0" w:space="0" w:color="auto"/>
                            <w:right w:val="none" w:sz="0" w:space="0" w:color="auto"/>
                          </w:divBdr>
                          <w:divsChild>
                            <w:div w:id="386757798">
                              <w:marLeft w:val="0"/>
                              <w:marRight w:val="0"/>
                              <w:marTop w:val="0"/>
                              <w:marBottom w:val="0"/>
                              <w:divBdr>
                                <w:top w:val="none" w:sz="0" w:space="0" w:color="auto"/>
                                <w:left w:val="none" w:sz="0" w:space="0" w:color="auto"/>
                                <w:bottom w:val="none" w:sz="0" w:space="0" w:color="auto"/>
                                <w:right w:val="none" w:sz="0" w:space="0" w:color="auto"/>
                              </w:divBdr>
                              <w:divsChild>
                                <w:div w:id="1284069936">
                                  <w:marLeft w:val="0"/>
                                  <w:marRight w:val="0"/>
                                  <w:marTop w:val="0"/>
                                  <w:marBottom w:val="0"/>
                                  <w:divBdr>
                                    <w:top w:val="none" w:sz="0" w:space="0" w:color="auto"/>
                                    <w:left w:val="none" w:sz="0" w:space="0" w:color="auto"/>
                                    <w:bottom w:val="none" w:sz="0" w:space="0" w:color="auto"/>
                                    <w:right w:val="none" w:sz="0" w:space="0" w:color="auto"/>
                                  </w:divBdr>
                                  <w:divsChild>
                                    <w:div w:id="595136952">
                                      <w:marLeft w:val="0"/>
                                      <w:marRight w:val="0"/>
                                      <w:marTop w:val="0"/>
                                      <w:marBottom w:val="0"/>
                                      <w:divBdr>
                                        <w:top w:val="none" w:sz="0" w:space="0" w:color="auto"/>
                                        <w:left w:val="none" w:sz="0" w:space="0" w:color="auto"/>
                                        <w:bottom w:val="none" w:sz="0" w:space="0" w:color="auto"/>
                                        <w:right w:val="none" w:sz="0" w:space="0" w:color="auto"/>
                                      </w:divBdr>
                                      <w:divsChild>
                                        <w:div w:id="99762648">
                                          <w:marLeft w:val="0"/>
                                          <w:marRight w:val="3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8443532">
      <w:bodyDiv w:val="1"/>
      <w:marLeft w:val="0"/>
      <w:marRight w:val="0"/>
      <w:marTop w:val="0"/>
      <w:marBottom w:val="0"/>
      <w:divBdr>
        <w:top w:val="none" w:sz="0" w:space="0" w:color="auto"/>
        <w:left w:val="none" w:sz="0" w:space="0" w:color="auto"/>
        <w:bottom w:val="none" w:sz="0" w:space="0" w:color="auto"/>
        <w:right w:val="none" w:sz="0" w:space="0" w:color="auto"/>
      </w:divBdr>
    </w:div>
    <w:div w:id="1043479302">
      <w:bodyDiv w:val="1"/>
      <w:marLeft w:val="0"/>
      <w:marRight w:val="0"/>
      <w:marTop w:val="0"/>
      <w:marBottom w:val="0"/>
      <w:divBdr>
        <w:top w:val="none" w:sz="0" w:space="0" w:color="auto"/>
        <w:left w:val="none" w:sz="0" w:space="0" w:color="auto"/>
        <w:bottom w:val="none" w:sz="0" w:space="0" w:color="auto"/>
        <w:right w:val="none" w:sz="0" w:space="0" w:color="auto"/>
      </w:divBdr>
    </w:div>
    <w:div w:id="1064376504">
      <w:bodyDiv w:val="1"/>
      <w:marLeft w:val="0"/>
      <w:marRight w:val="0"/>
      <w:marTop w:val="0"/>
      <w:marBottom w:val="0"/>
      <w:divBdr>
        <w:top w:val="none" w:sz="0" w:space="0" w:color="auto"/>
        <w:left w:val="none" w:sz="0" w:space="0" w:color="auto"/>
        <w:bottom w:val="none" w:sz="0" w:space="0" w:color="auto"/>
        <w:right w:val="none" w:sz="0" w:space="0" w:color="auto"/>
      </w:divBdr>
    </w:div>
    <w:div w:id="1389644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4321CD-C227-42A2-AF33-BB3E447D2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2209</Words>
  <Characters>12594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Department of Agriculture</Company>
  <LinksUpToDate>false</LinksUpToDate>
  <CharactersWithSpaces>14774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otully</dc:creator>
  <cp:lastModifiedBy>louise.murphy</cp:lastModifiedBy>
  <cp:revision>3</cp:revision>
  <dcterms:created xsi:type="dcterms:W3CDTF">2015-07-08T15:43:00Z</dcterms:created>
  <dcterms:modified xsi:type="dcterms:W3CDTF">2015-07-09T14:30:00Z</dcterms:modified>
</cp:coreProperties>
</file>